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1D" w:rsidRPr="00517CD0" w:rsidRDefault="0050621D" w:rsidP="0090537C">
      <w:pPr>
        <w:jc w:val="center"/>
        <w:rPr>
          <w:b/>
          <w:u w:val="single"/>
          <w:lang w:val="tr-TR"/>
        </w:rPr>
      </w:pPr>
      <w:r w:rsidRPr="00517CD0">
        <w:rPr>
          <w:b/>
          <w:lang w:val="tr-TR"/>
        </w:rPr>
        <w:t>KISA ÜRÜN BİLGİSİ</w:t>
      </w:r>
    </w:p>
    <w:p w:rsidR="0050621D" w:rsidRPr="00517CD0" w:rsidRDefault="0050621D" w:rsidP="0050621D">
      <w:pPr>
        <w:widowControl w:val="0"/>
        <w:autoSpaceDE w:val="0"/>
        <w:autoSpaceDN w:val="0"/>
        <w:adjustRightInd w:val="0"/>
        <w:ind w:right="48"/>
        <w:jc w:val="both"/>
        <w:rPr>
          <w:b/>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1. BEŞERİ TIBBİ ÜRÜNÜN ADI</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PARİKALSİ 5 </w:t>
      </w:r>
      <w:r w:rsidR="001953E4" w:rsidRPr="00517CD0">
        <w:rPr>
          <w:lang w:val="tr-TR"/>
        </w:rPr>
        <w:t>mc</w:t>
      </w:r>
      <w:r w:rsidRPr="00517CD0">
        <w:rPr>
          <w:lang w:val="tr-TR"/>
        </w:rPr>
        <w:t>g/m</w:t>
      </w:r>
      <w:r w:rsidR="00903A1F" w:rsidRPr="00517CD0">
        <w:rPr>
          <w:lang w:val="tr-TR"/>
        </w:rPr>
        <w:t>L</w:t>
      </w:r>
      <w:r w:rsidR="001953E4" w:rsidRPr="00517CD0">
        <w:rPr>
          <w:lang w:val="tr-TR"/>
        </w:rPr>
        <w:t xml:space="preserve"> </w:t>
      </w:r>
      <w:r w:rsidR="00FA03B7">
        <w:rPr>
          <w:lang w:val="tr-TR"/>
        </w:rPr>
        <w:t>İ</w:t>
      </w:r>
      <w:r w:rsidR="00734E94" w:rsidRPr="00517CD0">
        <w:rPr>
          <w:lang w:val="tr-TR"/>
        </w:rPr>
        <w:t xml:space="preserve">.V. </w:t>
      </w:r>
      <w:r w:rsidRPr="00517CD0">
        <w:rPr>
          <w:lang w:val="tr-TR"/>
        </w:rPr>
        <w:t>enjeksiyonluk çözelti içeren ampul</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 xml:space="preserve">2. KALİTATİF VE KANTİTATİF BİLEŞİM </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Etkin madde:</w:t>
      </w:r>
    </w:p>
    <w:p w:rsidR="0050621D" w:rsidRPr="00517CD0" w:rsidRDefault="0050621D" w:rsidP="0050621D">
      <w:pPr>
        <w:widowControl w:val="0"/>
        <w:autoSpaceDE w:val="0"/>
        <w:autoSpaceDN w:val="0"/>
        <w:adjustRightInd w:val="0"/>
        <w:ind w:right="48"/>
        <w:jc w:val="both"/>
        <w:rPr>
          <w:lang w:val="tr-TR"/>
        </w:rPr>
      </w:pPr>
    </w:p>
    <w:p w:rsidR="0050621D" w:rsidRPr="00517CD0" w:rsidRDefault="00347EF6" w:rsidP="0050621D">
      <w:pPr>
        <w:widowControl w:val="0"/>
        <w:autoSpaceDE w:val="0"/>
        <w:autoSpaceDN w:val="0"/>
        <w:adjustRightInd w:val="0"/>
        <w:ind w:right="48"/>
        <w:jc w:val="both"/>
        <w:rPr>
          <w:lang w:val="tr-TR"/>
        </w:rPr>
      </w:pPr>
      <w:r w:rsidRPr="00517CD0">
        <w:rPr>
          <w:lang w:val="tr-TR"/>
        </w:rPr>
        <w:t xml:space="preserve">Her bir 1 </w:t>
      </w:r>
      <w:proofErr w:type="spellStart"/>
      <w:r w:rsidRPr="00517CD0">
        <w:rPr>
          <w:lang w:val="tr-TR"/>
        </w:rPr>
        <w:t>mL’lik</w:t>
      </w:r>
      <w:proofErr w:type="spellEnd"/>
      <w:r w:rsidRPr="00517CD0">
        <w:rPr>
          <w:lang w:val="tr-TR"/>
        </w:rPr>
        <w:t xml:space="preserve"> ampul; etkin madde olarak </w:t>
      </w:r>
      <w:r w:rsidR="001C5E59" w:rsidRPr="00517CD0">
        <w:rPr>
          <w:lang w:val="tr-TR"/>
        </w:rPr>
        <w:t>5</w:t>
      </w:r>
      <w:r w:rsidRPr="00517CD0">
        <w:rPr>
          <w:lang w:val="tr-TR"/>
        </w:rPr>
        <w:t xml:space="preserve"> </w:t>
      </w:r>
      <w:proofErr w:type="spellStart"/>
      <w:r w:rsidRPr="00517CD0">
        <w:rPr>
          <w:lang w:val="tr-TR"/>
        </w:rPr>
        <w:t>mcg</w:t>
      </w:r>
      <w:proofErr w:type="spellEnd"/>
      <w:r w:rsidRPr="00517CD0">
        <w:rPr>
          <w:lang w:val="tr-TR"/>
        </w:rPr>
        <w:t xml:space="preserve"> </w:t>
      </w:r>
      <w:proofErr w:type="spellStart"/>
      <w:r w:rsidRPr="00517CD0">
        <w:rPr>
          <w:lang w:val="tr-TR"/>
        </w:rPr>
        <w:t>parikalsitol</w:t>
      </w:r>
      <w:proofErr w:type="spellEnd"/>
      <w:r w:rsidRPr="00517CD0">
        <w:rPr>
          <w:lang w:val="tr-TR"/>
        </w:rPr>
        <w:t xml:space="preserve"> içerir.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Yardımcı maddeler: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tabs>
          <w:tab w:val="left" w:pos="1701"/>
        </w:tabs>
        <w:autoSpaceDE w:val="0"/>
        <w:autoSpaceDN w:val="0"/>
        <w:adjustRightInd w:val="0"/>
        <w:ind w:right="48"/>
        <w:jc w:val="both"/>
        <w:rPr>
          <w:lang w:val="tr-TR"/>
        </w:rPr>
      </w:pPr>
      <w:r w:rsidRPr="00517CD0">
        <w:rPr>
          <w:lang w:val="tr-TR"/>
        </w:rPr>
        <w:t>Etanol</w:t>
      </w:r>
      <w:r w:rsidRPr="00517CD0">
        <w:rPr>
          <w:lang w:val="tr-TR"/>
        </w:rPr>
        <w:tab/>
      </w:r>
      <w:r w:rsidR="00E93C06" w:rsidRPr="00517CD0">
        <w:rPr>
          <w:lang w:val="tr-TR"/>
        </w:rPr>
        <w:t>167.440 mg</w:t>
      </w:r>
      <w:r w:rsidRPr="00517CD0">
        <w:rPr>
          <w:lang w:val="tr-TR"/>
        </w:rPr>
        <w:tab/>
      </w:r>
      <w:r w:rsidRPr="00517CD0">
        <w:rPr>
          <w:lang w:val="tr-TR"/>
        </w:rPr>
        <w:tab/>
      </w:r>
      <w:r w:rsidRPr="00517CD0">
        <w:rPr>
          <w:lang w:val="tr-TR"/>
        </w:rPr>
        <w:tab/>
      </w: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Propilen </w:t>
      </w:r>
      <w:proofErr w:type="gramStart"/>
      <w:r w:rsidRPr="00517CD0">
        <w:rPr>
          <w:lang w:val="tr-TR"/>
        </w:rPr>
        <w:t xml:space="preserve">glikol  </w:t>
      </w:r>
      <w:r w:rsidR="00E93C06" w:rsidRPr="00517CD0">
        <w:rPr>
          <w:lang w:val="tr-TR"/>
        </w:rPr>
        <w:t xml:space="preserve"> </w:t>
      </w:r>
      <w:r w:rsidRPr="00517CD0">
        <w:rPr>
          <w:lang w:val="tr-TR"/>
        </w:rPr>
        <w:t xml:space="preserve"> </w:t>
      </w:r>
      <w:r w:rsidR="00E93C06" w:rsidRPr="00517CD0">
        <w:rPr>
          <w:lang w:val="tr-TR"/>
        </w:rPr>
        <w:t>331</w:t>
      </w:r>
      <w:proofErr w:type="gramEnd"/>
      <w:r w:rsidR="00E93C06" w:rsidRPr="00517CD0">
        <w:rPr>
          <w:lang w:val="tr-TR"/>
        </w:rPr>
        <w:t>.700 mg</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Yardımcı maddeler için bölüm </w:t>
      </w:r>
      <w:proofErr w:type="gramStart"/>
      <w:r w:rsidRPr="00517CD0">
        <w:rPr>
          <w:lang w:val="tr-TR"/>
        </w:rPr>
        <w:t>6.1</w:t>
      </w:r>
      <w:proofErr w:type="gramEnd"/>
      <w:r w:rsidRPr="00517CD0">
        <w:rPr>
          <w:lang w:val="tr-TR"/>
        </w:rPr>
        <w:t>.’e bakınız.</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3. FARMASÖTİK FORM</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Enjeksiyonluk çözelti</w:t>
      </w:r>
    </w:p>
    <w:p w:rsidR="0050621D" w:rsidRPr="00517CD0" w:rsidRDefault="00D71382" w:rsidP="0050621D">
      <w:pPr>
        <w:widowControl w:val="0"/>
        <w:autoSpaceDE w:val="0"/>
        <w:autoSpaceDN w:val="0"/>
        <w:adjustRightInd w:val="0"/>
        <w:ind w:right="48"/>
        <w:jc w:val="both"/>
        <w:rPr>
          <w:lang w:val="tr-TR"/>
        </w:rPr>
      </w:pPr>
      <w:r w:rsidRPr="00517CD0">
        <w:rPr>
          <w:lang w:val="tr-TR"/>
        </w:rPr>
        <w:t>Steril, b</w:t>
      </w:r>
      <w:r w:rsidR="00347EF6" w:rsidRPr="00517CD0">
        <w:rPr>
          <w:lang w:val="tr-TR"/>
        </w:rPr>
        <w:t xml:space="preserve">errak ve renksiz </w:t>
      </w:r>
      <w:r w:rsidRPr="00517CD0">
        <w:rPr>
          <w:lang w:val="tr-TR"/>
        </w:rPr>
        <w:t>çözeltidir.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4. KLİNİK ÖZELLİKLER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4.1. Terapötik endikasyonlar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PARİKALSİ </w:t>
      </w:r>
      <w:r w:rsidR="001953E4" w:rsidRPr="00517CD0">
        <w:rPr>
          <w:lang w:val="tr-TR"/>
        </w:rPr>
        <w:t xml:space="preserve">hemodiyaliz gören </w:t>
      </w:r>
      <w:r w:rsidRPr="00517CD0">
        <w:rPr>
          <w:lang w:val="tr-TR"/>
        </w:rPr>
        <w:t xml:space="preserve">kronik </w:t>
      </w:r>
      <w:proofErr w:type="spellStart"/>
      <w:r w:rsidRPr="00517CD0">
        <w:rPr>
          <w:lang w:val="tr-TR"/>
        </w:rPr>
        <w:t>renal</w:t>
      </w:r>
      <w:proofErr w:type="spellEnd"/>
      <w:r w:rsidRPr="00517CD0">
        <w:rPr>
          <w:lang w:val="tr-TR"/>
        </w:rPr>
        <w:t xml:space="preserve"> yetmezlikle birlikte olan sekonder </w:t>
      </w:r>
      <w:proofErr w:type="spellStart"/>
      <w:r w:rsidRPr="00517CD0">
        <w:rPr>
          <w:lang w:val="tr-TR"/>
        </w:rPr>
        <w:t>hiperparatiroidizmin</w:t>
      </w:r>
      <w:proofErr w:type="spellEnd"/>
      <w:r w:rsidRPr="00517CD0">
        <w:rPr>
          <w:lang w:val="tr-TR"/>
        </w:rPr>
        <w:t xml:space="preserve"> önlenmesinde ve tedavisinde endikedir.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b/>
          <w:lang w:val="tr-TR"/>
        </w:rPr>
        <w:t>4.2. Pozoloji ve uygulama şekli</w:t>
      </w:r>
      <w:r w:rsidRPr="00517CD0">
        <w:rPr>
          <w:lang w:val="tr-TR"/>
        </w:rPr>
        <w:t xml:space="preserve"> </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b/>
          <w:lang w:val="tr-TR"/>
        </w:rPr>
        <w:t>Pozoloji/uygulama sıklığı ve süresi:</w:t>
      </w:r>
      <w:r w:rsidRPr="00517CD0">
        <w:rPr>
          <w:lang w:val="tr-TR"/>
        </w:rPr>
        <w:t xml:space="preserve"> </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Yetişkinler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Başlangıç Dozu</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Parikalsitolün</w:t>
      </w:r>
      <w:proofErr w:type="spellEnd"/>
      <w:r w:rsidRPr="00517CD0">
        <w:rPr>
          <w:lang w:val="tr-TR"/>
        </w:rPr>
        <w:t xml:space="preserve"> başlangıç dozunun belirlenmesi için önerilen iki yöntem vardır. Klinik çalışmalarda güvenli bir şekilde uygulanan doz maksimum 40 mikrogram’a kadar çıkmıştır.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1)  </w:t>
      </w:r>
      <w:r w:rsidRPr="00517CD0">
        <w:rPr>
          <w:u w:val="single"/>
          <w:lang w:val="tr-TR"/>
        </w:rPr>
        <w:t>Vücut ağırlığına göre başlangıç dozu</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Parikalsitolün</w:t>
      </w:r>
      <w:proofErr w:type="spellEnd"/>
      <w:r w:rsidRPr="00517CD0">
        <w:rPr>
          <w:lang w:val="tr-TR"/>
        </w:rPr>
        <w:t xml:space="preserve"> önerilen başlangıç dozu, diyaliz sırasında herhangi bir zamanda gün aşırıdan daha sık verilmeyen 0.04 </w:t>
      </w:r>
      <w:r w:rsidR="00D71382" w:rsidRPr="00517CD0">
        <w:rPr>
          <w:lang w:val="tr-TR"/>
        </w:rPr>
        <w:t>mikrogram</w:t>
      </w:r>
      <w:r w:rsidRPr="00517CD0">
        <w:rPr>
          <w:lang w:val="tr-TR"/>
        </w:rPr>
        <w:t xml:space="preserve">/kg ile </w:t>
      </w:r>
      <w:proofErr w:type="gramStart"/>
      <w:r w:rsidRPr="00517CD0">
        <w:rPr>
          <w:lang w:val="tr-TR"/>
        </w:rPr>
        <w:t>0.1</w:t>
      </w:r>
      <w:proofErr w:type="gramEnd"/>
      <w:r w:rsidRPr="00517CD0">
        <w:rPr>
          <w:lang w:val="tr-TR"/>
        </w:rPr>
        <w:t xml:space="preserve"> </w:t>
      </w:r>
      <w:r w:rsidR="00D71382" w:rsidRPr="00517CD0">
        <w:rPr>
          <w:lang w:val="tr-TR"/>
        </w:rPr>
        <w:t>mikrogram</w:t>
      </w:r>
      <w:r w:rsidRPr="00517CD0">
        <w:rPr>
          <w:lang w:val="tr-TR"/>
        </w:rPr>
        <w:t xml:space="preserve">/kg (2.8 - 7 </w:t>
      </w:r>
      <w:r w:rsidR="00D71382" w:rsidRPr="00517CD0">
        <w:rPr>
          <w:lang w:val="tr-TR"/>
        </w:rPr>
        <w:t>mikrogram</w:t>
      </w:r>
      <w:r w:rsidRPr="00517CD0">
        <w:rPr>
          <w:lang w:val="tr-TR"/>
        </w:rPr>
        <w:t xml:space="preserve">) arasındaki </w:t>
      </w:r>
      <w:proofErr w:type="spellStart"/>
      <w:r w:rsidRPr="00517CD0">
        <w:rPr>
          <w:lang w:val="tr-TR"/>
        </w:rPr>
        <w:t>bolus</w:t>
      </w:r>
      <w:proofErr w:type="spellEnd"/>
      <w:r w:rsidRPr="00517CD0">
        <w:rPr>
          <w:lang w:val="tr-TR"/>
        </w:rPr>
        <w:t xml:space="preserve"> dozudur.</w:t>
      </w:r>
    </w:p>
    <w:p w:rsidR="00AA6446" w:rsidRPr="00517CD0" w:rsidRDefault="00AA6446" w:rsidP="0050621D">
      <w:pPr>
        <w:widowControl w:val="0"/>
        <w:autoSpaceDE w:val="0"/>
        <w:autoSpaceDN w:val="0"/>
        <w:adjustRightInd w:val="0"/>
        <w:ind w:right="48"/>
        <w:jc w:val="both"/>
        <w:rPr>
          <w:lang w:val="tr-TR"/>
        </w:rPr>
      </w:pPr>
    </w:p>
    <w:p w:rsidR="00347EF6" w:rsidRPr="00517CD0" w:rsidRDefault="00347EF6" w:rsidP="0050621D">
      <w:pPr>
        <w:widowControl w:val="0"/>
        <w:autoSpaceDE w:val="0"/>
        <w:autoSpaceDN w:val="0"/>
        <w:adjustRightInd w:val="0"/>
        <w:ind w:right="48"/>
        <w:jc w:val="both"/>
        <w:rPr>
          <w:lang w:val="tr-TR"/>
        </w:rPr>
      </w:pPr>
    </w:p>
    <w:p w:rsidR="00347EF6" w:rsidRPr="00517CD0" w:rsidRDefault="00347EF6"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lastRenderedPageBreak/>
        <w:t xml:space="preserve">2)  </w:t>
      </w:r>
      <w:r w:rsidRPr="00517CD0">
        <w:rPr>
          <w:u w:val="single"/>
          <w:lang w:val="tr-TR"/>
        </w:rPr>
        <w:t xml:space="preserve">Bazal </w:t>
      </w:r>
      <w:proofErr w:type="spellStart"/>
      <w:r w:rsidRPr="00517CD0">
        <w:rPr>
          <w:u w:val="single"/>
          <w:lang w:val="tr-TR"/>
        </w:rPr>
        <w:t>iPTH</w:t>
      </w:r>
      <w:proofErr w:type="spellEnd"/>
      <w:r w:rsidRPr="00517CD0">
        <w:rPr>
          <w:u w:val="single"/>
          <w:lang w:val="tr-TR"/>
        </w:rPr>
        <w:t xml:space="preserve"> (</w:t>
      </w:r>
      <w:proofErr w:type="spellStart"/>
      <w:r w:rsidRPr="00517CD0">
        <w:rPr>
          <w:u w:val="single"/>
          <w:lang w:val="tr-TR"/>
        </w:rPr>
        <w:t>intakt</w:t>
      </w:r>
      <w:proofErr w:type="spellEnd"/>
      <w:r w:rsidRPr="00517CD0">
        <w:rPr>
          <w:u w:val="single"/>
          <w:lang w:val="tr-TR"/>
        </w:rPr>
        <w:t xml:space="preserve"> </w:t>
      </w:r>
      <w:proofErr w:type="spellStart"/>
      <w:r w:rsidRPr="00517CD0">
        <w:rPr>
          <w:u w:val="single"/>
          <w:lang w:val="tr-TR"/>
        </w:rPr>
        <w:t>paratiroid</w:t>
      </w:r>
      <w:proofErr w:type="spellEnd"/>
      <w:r w:rsidRPr="00517CD0">
        <w:rPr>
          <w:u w:val="single"/>
          <w:lang w:val="tr-TR"/>
        </w:rPr>
        <w:t xml:space="preserve"> hormonu) düzeylerine göre başlangıç dozu</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Kronik böbrek yetmezliği (KBY Evre 5) olan hastalarda biyolojik olarak aktif olan PTH ölçümü için ikinci nesil </w:t>
      </w:r>
      <w:proofErr w:type="spellStart"/>
      <w:r w:rsidRPr="00517CD0">
        <w:rPr>
          <w:lang w:val="tr-TR"/>
        </w:rPr>
        <w:t>paratiroid</w:t>
      </w:r>
      <w:proofErr w:type="spellEnd"/>
      <w:r w:rsidRPr="00517CD0">
        <w:rPr>
          <w:lang w:val="tr-TR"/>
        </w:rPr>
        <w:t xml:space="preserve"> hormon miktar tayini  (</w:t>
      </w:r>
      <w:proofErr w:type="spellStart"/>
      <w:r w:rsidRPr="00517CD0">
        <w:rPr>
          <w:lang w:val="tr-TR"/>
        </w:rPr>
        <w:t>intakt</w:t>
      </w:r>
      <w:proofErr w:type="spellEnd"/>
      <w:r w:rsidRPr="00517CD0">
        <w:rPr>
          <w:lang w:val="tr-TR"/>
        </w:rPr>
        <w:t xml:space="preserve"> PTH-</w:t>
      </w:r>
      <w:proofErr w:type="spellStart"/>
      <w:r w:rsidRPr="00517CD0">
        <w:rPr>
          <w:lang w:val="tr-TR"/>
        </w:rPr>
        <w:t>iPTH</w:t>
      </w:r>
      <w:proofErr w:type="spellEnd"/>
      <w:r w:rsidRPr="00517CD0">
        <w:rPr>
          <w:lang w:val="tr-TR"/>
        </w:rPr>
        <w:t>) kullanılmıştır.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Parikalsitolün</w:t>
      </w:r>
      <w:proofErr w:type="spellEnd"/>
      <w:r w:rsidRPr="00517CD0">
        <w:rPr>
          <w:lang w:val="tr-TR"/>
        </w:rPr>
        <w:t xml:space="preserve"> başlangıç dozu aşağıdaki formüle göre belirlenir: </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Başlangıç dozu (mikrogram) = </w:t>
      </w:r>
      <w:r w:rsidRPr="00517CD0">
        <w:rPr>
          <w:u w:val="single"/>
          <w:lang w:val="tr-TR"/>
        </w:rPr>
        <w:t xml:space="preserve">bazal </w:t>
      </w:r>
      <w:proofErr w:type="spellStart"/>
      <w:r w:rsidRPr="00517CD0">
        <w:rPr>
          <w:u w:val="single"/>
          <w:lang w:val="tr-TR"/>
        </w:rPr>
        <w:t>iPTH</w:t>
      </w:r>
      <w:proofErr w:type="spellEnd"/>
      <w:r w:rsidRPr="00517CD0">
        <w:rPr>
          <w:u w:val="single"/>
          <w:lang w:val="tr-TR"/>
        </w:rPr>
        <w:t xml:space="preserve"> düzeyi (</w:t>
      </w:r>
      <w:proofErr w:type="spellStart"/>
      <w:r w:rsidRPr="00517CD0">
        <w:rPr>
          <w:u w:val="single"/>
          <w:lang w:val="tr-TR"/>
        </w:rPr>
        <w:t>pg</w:t>
      </w:r>
      <w:proofErr w:type="spellEnd"/>
      <w:r w:rsidRPr="00517CD0">
        <w:rPr>
          <w:u w:val="single"/>
          <w:lang w:val="tr-TR"/>
        </w:rPr>
        <w:t>/m</w:t>
      </w:r>
      <w:r w:rsidR="001953E4" w:rsidRPr="00517CD0">
        <w:rPr>
          <w:u w:val="single"/>
          <w:lang w:val="tr-TR"/>
        </w:rPr>
        <w:t>L</w:t>
      </w:r>
      <w:r w:rsidRPr="00517CD0">
        <w:rPr>
          <w:u w:val="single"/>
          <w:lang w:val="tr-TR"/>
        </w:rPr>
        <w:t>)</w:t>
      </w:r>
      <w:r w:rsidRPr="00517CD0">
        <w:rPr>
          <w:lang w:val="tr-TR"/>
        </w:rPr>
        <w:t xml:space="preserve"> </w:t>
      </w: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 </w:t>
      </w:r>
      <w:r w:rsidRPr="00517CD0">
        <w:rPr>
          <w:lang w:val="tr-TR"/>
        </w:rPr>
        <w:tab/>
      </w:r>
      <w:r w:rsidRPr="00517CD0">
        <w:rPr>
          <w:lang w:val="tr-TR"/>
        </w:rPr>
        <w:tab/>
      </w:r>
      <w:r w:rsidRPr="00517CD0">
        <w:rPr>
          <w:lang w:val="tr-TR"/>
        </w:rPr>
        <w:tab/>
      </w:r>
      <w:r w:rsidRPr="00517CD0">
        <w:rPr>
          <w:lang w:val="tr-TR"/>
        </w:rPr>
        <w:tab/>
      </w:r>
      <w:r w:rsidRPr="00517CD0">
        <w:rPr>
          <w:lang w:val="tr-TR"/>
        </w:rPr>
        <w:tab/>
      </w:r>
      <w:r w:rsidRPr="00517CD0">
        <w:rPr>
          <w:lang w:val="tr-TR"/>
        </w:rPr>
        <w:tab/>
        <w:t>80</w:t>
      </w: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ve diyaliz sırasında herhangi bir zamanda gün aşırıdan daha sık olmamak üzere intravenöz (IV) </w:t>
      </w:r>
      <w:proofErr w:type="spellStart"/>
      <w:r w:rsidRPr="00517CD0">
        <w:rPr>
          <w:lang w:val="tr-TR"/>
        </w:rPr>
        <w:t>bolus</w:t>
      </w:r>
      <w:proofErr w:type="spellEnd"/>
      <w:r w:rsidRPr="00517CD0">
        <w:rPr>
          <w:lang w:val="tr-TR"/>
        </w:rPr>
        <w:t xml:space="preserve"> tarzında verilir.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Doz </w:t>
      </w:r>
      <w:proofErr w:type="spellStart"/>
      <w:r w:rsidRPr="00517CD0">
        <w:rPr>
          <w:lang w:val="tr-TR"/>
        </w:rPr>
        <w:t>titrasyonu</w:t>
      </w:r>
      <w:proofErr w:type="spellEnd"/>
      <w:r w:rsidRPr="00517CD0">
        <w:rPr>
          <w:lang w:val="tr-TR"/>
        </w:rPr>
        <w:t>:</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Diyalize giren son dönem böbrek yetmezliğindeki hastalarda PTH düzeyleri için halen kabul edilen hedef sınırlar normal </w:t>
      </w:r>
      <w:proofErr w:type="spellStart"/>
      <w:r w:rsidRPr="00517CD0">
        <w:rPr>
          <w:lang w:val="tr-TR"/>
        </w:rPr>
        <w:t>non</w:t>
      </w:r>
      <w:proofErr w:type="spellEnd"/>
      <w:r w:rsidRPr="00517CD0">
        <w:rPr>
          <w:lang w:val="tr-TR"/>
        </w:rPr>
        <w:t xml:space="preserve">-üremik üst sınırın </w:t>
      </w:r>
      <w:proofErr w:type="gramStart"/>
      <w:r w:rsidRPr="00517CD0">
        <w:rPr>
          <w:lang w:val="tr-TR"/>
        </w:rPr>
        <w:t>1.5</w:t>
      </w:r>
      <w:proofErr w:type="gramEnd"/>
      <w:r w:rsidRPr="00517CD0">
        <w:rPr>
          <w:lang w:val="tr-TR"/>
        </w:rPr>
        <w:t xml:space="preserve"> ile 3 katından fazla değildir (</w:t>
      </w:r>
      <w:proofErr w:type="spellStart"/>
      <w:r w:rsidRPr="00517CD0">
        <w:rPr>
          <w:lang w:val="tr-TR"/>
        </w:rPr>
        <w:t>iPTH</w:t>
      </w:r>
      <w:proofErr w:type="spellEnd"/>
      <w:r w:rsidRPr="00517CD0">
        <w:rPr>
          <w:lang w:val="tr-TR"/>
        </w:rPr>
        <w:t xml:space="preserve"> için 150-300 </w:t>
      </w:r>
      <w:proofErr w:type="spellStart"/>
      <w:r w:rsidRPr="00517CD0">
        <w:rPr>
          <w:lang w:val="tr-TR"/>
        </w:rPr>
        <w:t>pg</w:t>
      </w:r>
      <w:proofErr w:type="spellEnd"/>
      <w:r w:rsidRPr="00517CD0">
        <w:rPr>
          <w:lang w:val="tr-TR"/>
        </w:rPr>
        <w:t>/m</w:t>
      </w:r>
      <w:r w:rsidR="009540F8" w:rsidRPr="00517CD0">
        <w:rPr>
          <w:lang w:val="tr-TR"/>
        </w:rPr>
        <w:t>L</w:t>
      </w:r>
      <w:r w:rsidRPr="00517CD0">
        <w:rPr>
          <w:lang w:val="tr-TR"/>
        </w:rPr>
        <w:t xml:space="preserve">). Uygun fizyolojik sonuca ulaşmak için yakın takip ve bireysel doz </w:t>
      </w:r>
      <w:proofErr w:type="spellStart"/>
      <w:r w:rsidRPr="00517CD0">
        <w:rPr>
          <w:lang w:val="tr-TR"/>
        </w:rPr>
        <w:t>titrasyonu</w:t>
      </w:r>
      <w:proofErr w:type="spellEnd"/>
      <w:r w:rsidRPr="00517CD0">
        <w:rPr>
          <w:lang w:val="tr-TR"/>
        </w:rPr>
        <w:t xml:space="preserve"> önemlidir.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Herhangi bir doz ayarlama periyodunda serum kalsiyum (</w:t>
      </w:r>
      <w:proofErr w:type="spellStart"/>
      <w:r w:rsidRPr="00517CD0">
        <w:rPr>
          <w:lang w:val="tr-TR"/>
        </w:rPr>
        <w:t>hipoalbüminemi</w:t>
      </w:r>
      <w:proofErr w:type="spellEnd"/>
      <w:r w:rsidRPr="00517CD0">
        <w:rPr>
          <w:lang w:val="tr-TR"/>
        </w:rPr>
        <w:t xml:space="preserve"> için düzeltilmiş olan) ve fosfor daha sık izlenmelidir.</w:t>
      </w:r>
      <w:r w:rsidR="00D71382" w:rsidRPr="00517CD0">
        <w:rPr>
          <w:lang w:val="tr-TR"/>
        </w:rPr>
        <w:t xml:space="preserve"> </w:t>
      </w:r>
      <w:proofErr w:type="spellStart"/>
      <w:r w:rsidRPr="00517CD0">
        <w:rPr>
          <w:lang w:val="tr-TR"/>
        </w:rPr>
        <w:t>Hiperkalsemi</w:t>
      </w:r>
      <w:proofErr w:type="spellEnd"/>
      <w:r w:rsidRPr="00517CD0">
        <w:rPr>
          <w:lang w:val="tr-TR"/>
        </w:rPr>
        <w:t xml:space="preserve"> veya </w:t>
      </w:r>
      <w:r w:rsidR="00D71382" w:rsidRPr="00517CD0">
        <w:rPr>
          <w:lang w:val="tr-TR"/>
        </w:rPr>
        <w:t>6</w:t>
      </w:r>
      <w:r w:rsidRPr="00517CD0">
        <w:rPr>
          <w:lang w:val="tr-TR"/>
        </w:rPr>
        <w:t>5 mg</w:t>
      </w:r>
      <w:r w:rsidRPr="00517CD0">
        <w:rPr>
          <w:vertAlign w:val="superscript"/>
          <w:lang w:val="tr-TR"/>
        </w:rPr>
        <w:t>2</w:t>
      </w:r>
      <w:r w:rsidRPr="00517CD0">
        <w:rPr>
          <w:lang w:val="tr-TR"/>
        </w:rPr>
        <w:t>/dl</w:t>
      </w:r>
      <w:r w:rsidRPr="00517CD0">
        <w:rPr>
          <w:vertAlign w:val="superscript"/>
          <w:lang w:val="tr-TR"/>
        </w:rPr>
        <w:t>2</w:t>
      </w:r>
      <w:r w:rsidRPr="00517CD0">
        <w:rPr>
          <w:lang w:val="tr-TR"/>
        </w:rPr>
        <w:t xml:space="preserve">’den fazla devamlı yükselen düzeltilmiş </w:t>
      </w:r>
      <w:proofErr w:type="spellStart"/>
      <w:r w:rsidRPr="00517CD0">
        <w:rPr>
          <w:lang w:val="tr-TR"/>
        </w:rPr>
        <w:t>Ca</w:t>
      </w:r>
      <w:proofErr w:type="spellEnd"/>
      <w:r w:rsidRPr="00517CD0">
        <w:rPr>
          <w:lang w:val="tr-TR"/>
        </w:rPr>
        <w:t xml:space="preserve"> x P çarpımı saptanırsa bu parametreler normale dönünceye kadar ilacın dozu azaltılmalı ya da ilaç kesilmelidir. Daha sonra </w:t>
      </w:r>
      <w:proofErr w:type="spellStart"/>
      <w:r w:rsidRPr="00517CD0">
        <w:rPr>
          <w:lang w:val="tr-TR"/>
        </w:rPr>
        <w:t>parikalsitol</w:t>
      </w:r>
      <w:proofErr w:type="spellEnd"/>
      <w:r w:rsidRPr="00517CD0">
        <w:rPr>
          <w:lang w:val="tr-TR"/>
        </w:rPr>
        <w:t xml:space="preserve"> tedavisine daha düşük bir dozdan yine başlanabilir. Eğer bir hasta kalsiyum kaynaklı fosfat bağlayıcı kullanıyorsa doz azaltılabilir ya da verilmeyebilir veya hasta kalsiyum kaynaklı olmayan bir fosfat bağlayıcıya geçirilebilir. Tedaviye yanıt olarak PTH düzeyleri düştüğünde dozların azaltılması gerekebilir. Bu nedenle kademeli </w:t>
      </w:r>
      <w:proofErr w:type="spellStart"/>
      <w:r w:rsidRPr="00517CD0">
        <w:rPr>
          <w:lang w:val="tr-TR"/>
        </w:rPr>
        <w:t>dozlama</w:t>
      </w:r>
      <w:proofErr w:type="spellEnd"/>
      <w:r w:rsidRPr="00517CD0">
        <w:rPr>
          <w:lang w:val="tr-TR"/>
        </w:rPr>
        <w:t xml:space="preserve"> bireysel olarak yapılmalıdır.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Eğer tatmin edici bir yanıt gözlenmezse doz 2-4 haftalık aralarla 2 ile 4 mikrogram artırılabilir.  Eğer herhangi bir zamanda </w:t>
      </w:r>
      <w:proofErr w:type="spellStart"/>
      <w:r w:rsidRPr="00517CD0">
        <w:rPr>
          <w:lang w:val="tr-TR"/>
        </w:rPr>
        <w:t>iPTH</w:t>
      </w:r>
      <w:proofErr w:type="spellEnd"/>
      <w:r w:rsidRPr="00517CD0">
        <w:rPr>
          <w:lang w:val="tr-TR"/>
        </w:rPr>
        <w:t xml:space="preserve"> seviyesi 150 </w:t>
      </w:r>
      <w:proofErr w:type="spellStart"/>
      <w:r w:rsidRPr="00517CD0">
        <w:rPr>
          <w:lang w:val="tr-TR"/>
        </w:rPr>
        <w:t>pg</w:t>
      </w:r>
      <w:proofErr w:type="spellEnd"/>
      <w:r w:rsidRPr="00517CD0">
        <w:rPr>
          <w:lang w:val="tr-TR"/>
        </w:rPr>
        <w:t>/</w:t>
      </w:r>
      <w:proofErr w:type="spellStart"/>
      <w:r w:rsidRPr="00517CD0">
        <w:rPr>
          <w:lang w:val="tr-TR"/>
        </w:rPr>
        <w:t>m</w:t>
      </w:r>
      <w:r w:rsidR="001953E4" w:rsidRPr="00517CD0">
        <w:rPr>
          <w:lang w:val="tr-TR"/>
        </w:rPr>
        <w:t>L</w:t>
      </w:r>
      <w:r w:rsidRPr="00517CD0">
        <w:rPr>
          <w:lang w:val="tr-TR"/>
        </w:rPr>
        <w:t>’den</w:t>
      </w:r>
      <w:proofErr w:type="spellEnd"/>
      <w:r w:rsidRPr="00517CD0">
        <w:rPr>
          <w:lang w:val="tr-TR"/>
        </w:rPr>
        <w:t xml:space="preserve"> daha az bir seviyeye düşerse, ilacın dozu azaltılmalıdır.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Aşağıdaki tabloda doz </w:t>
      </w:r>
      <w:proofErr w:type="spellStart"/>
      <w:r w:rsidRPr="00517CD0">
        <w:rPr>
          <w:lang w:val="tr-TR"/>
        </w:rPr>
        <w:t>titrasyonu</w:t>
      </w:r>
      <w:proofErr w:type="spellEnd"/>
      <w:r w:rsidRPr="00517CD0">
        <w:rPr>
          <w:lang w:val="tr-TR"/>
        </w:rPr>
        <w:t xml:space="preserve"> için önerilen bir yaklaşım sunulmuştur:</w:t>
      </w:r>
    </w:p>
    <w:p w:rsidR="0050621D" w:rsidRPr="00517CD0" w:rsidRDefault="0050621D" w:rsidP="0050621D">
      <w:pPr>
        <w:widowControl w:val="0"/>
        <w:autoSpaceDE w:val="0"/>
        <w:autoSpaceDN w:val="0"/>
        <w:adjustRightInd w:val="0"/>
        <w:ind w:right="48"/>
        <w:jc w:val="both"/>
        <w:rPr>
          <w:lang w:val="tr-TR"/>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tblPr>
      <w:tblGrid>
        <w:gridCol w:w="5340"/>
        <w:gridCol w:w="3840"/>
      </w:tblGrid>
      <w:tr w:rsidR="0050621D" w:rsidRPr="00517CD0" w:rsidTr="00D71382">
        <w:tc>
          <w:tcPr>
            <w:tcW w:w="9250" w:type="dxa"/>
            <w:gridSpan w:val="2"/>
          </w:tcPr>
          <w:p w:rsidR="0050621D" w:rsidRPr="00517CD0" w:rsidRDefault="0050621D" w:rsidP="00D71382">
            <w:pPr>
              <w:widowControl w:val="0"/>
              <w:autoSpaceDE w:val="0"/>
              <w:autoSpaceDN w:val="0"/>
              <w:adjustRightInd w:val="0"/>
              <w:ind w:right="48"/>
              <w:jc w:val="center"/>
              <w:rPr>
                <w:b/>
                <w:lang w:val="tr-TR"/>
              </w:rPr>
            </w:pPr>
            <w:r w:rsidRPr="00517CD0">
              <w:rPr>
                <w:lang w:val="tr-TR"/>
              </w:rPr>
              <w:br w:type="page"/>
            </w:r>
            <w:r w:rsidRPr="00517CD0">
              <w:rPr>
                <w:b/>
                <w:lang w:val="tr-TR"/>
              </w:rPr>
              <w:t>Önerilen Dozaj Çizelgesi</w:t>
            </w:r>
          </w:p>
        </w:tc>
      </w:tr>
      <w:tr w:rsidR="0050621D" w:rsidRPr="00517CD0" w:rsidTr="00D71382">
        <w:tc>
          <w:tcPr>
            <w:tcW w:w="5384" w:type="dxa"/>
          </w:tcPr>
          <w:p w:rsidR="0050621D" w:rsidRPr="00517CD0" w:rsidRDefault="0050621D" w:rsidP="00D71382">
            <w:pPr>
              <w:widowControl w:val="0"/>
              <w:autoSpaceDE w:val="0"/>
              <w:autoSpaceDN w:val="0"/>
              <w:adjustRightInd w:val="0"/>
              <w:ind w:right="48"/>
              <w:jc w:val="both"/>
              <w:rPr>
                <w:b/>
                <w:lang w:val="tr-TR"/>
              </w:rPr>
            </w:pPr>
            <w:proofErr w:type="spellStart"/>
            <w:r w:rsidRPr="00517CD0">
              <w:rPr>
                <w:b/>
                <w:lang w:val="tr-TR"/>
              </w:rPr>
              <w:t>iPTH</w:t>
            </w:r>
            <w:proofErr w:type="spellEnd"/>
            <w:r w:rsidRPr="00517CD0">
              <w:rPr>
                <w:b/>
                <w:lang w:val="tr-TR"/>
              </w:rPr>
              <w:t xml:space="preserve"> Düzeyi</w:t>
            </w:r>
          </w:p>
        </w:tc>
        <w:tc>
          <w:tcPr>
            <w:tcW w:w="3866" w:type="dxa"/>
          </w:tcPr>
          <w:p w:rsidR="0050621D" w:rsidRPr="00517CD0" w:rsidRDefault="0050621D" w:rsidP="00D71382">
            <w:pPr>
              <w:widowControl w:val="0"/>
              <w:autoSpaceDE w:val="0"/>
              <w:autoSpaceDN w:val="0"/>
              <w:adjustRightInd w:val="0"/>
              <w:ind w:right="48"/>
              <w:jc w:val="both"/>
              <w:rPr>
                <w:b/>
                <w:lang w:val="tr-TR"/>
              </w:rPr>
            </w:pPr>
            <w:proofErr w:type="spellStart"/>
            <w:r w:rsidRPr="00517CD0">
              <w:rPr>
                <w:b/>
                <w:lang w:val="tr-TR"/>
              </w:rPr>
              <w:t>Parikalsitol</w:t>
            </w:r>
            <w:proofErr w:type="spellEnd"/>
            <w:r w:rsidRPr="00517CD0">
              <w:rPr>
                <w:b/>
                <w:lang w:val="tr-TR"/>
              </w:rPr>
              <w:t xml:space="preserve"> Dozu</w:t>
            </w:r>
          </w:p>
        </w:tc>
      </w:tr>
      <w:tr w:rsidR="0050621D" w:rsidRPr="00517CD0" w:rsidTr="00D71382">
        <w:tc>
          <w:tcPr>
            <w:tcW w:w="5384" w:type="dxa"/>
          </w:tcPr>
          <w:p w:rsidR="0050621D" w:rsidRPr="00517CD0" w:rsidRDefault="0050621D" w:rsidP="00D71382">
            <w:pPr>
              <w:widowControl w:val="0"/>
              <w:autoSpaceDE w:val="0"/>
              <w:autoSpaceDN w:val="0"/>
              <w:adjustRightInd w:val="0"/>
              <w:ind w:right="48"/>
              <w:jc w:val="both"/>
              <w:rPr>
                <w:lang w:val="tr-TR"/>
              </w:rPr>
            </w:pPr>
            <w:r w:rsidRPr="00517CD0">
              <w:rPr>
                <w:lang w:val="tr-TR"/>
              </w:rPr>
              <w:t>Aynı veya artıyor</w:t>
            </w:r>
          </w:p>
        </w:tc>
        <w:tc>
          <w:tcPr>
            <w:tcW w:w="3866" w:type="dxa"/>
          </w:tcPr>
          <w:p w:rsidR="0050621D" w:rsidRPr="00517CD0" w:rsidRDefault="0050621D" w:rsidP="00D71382">
            <w:pPr>
              <w:widowControl w:val="0"/>
              <w:autoSpaceDE w:val="0"/>
              <w:autoSpaceDN w:val="0"/>
              <w:adjustRightInd w:val="0"/>
              <w:ind w:right="48"/>
              <w:jc w:val="both"/>
              <w:rPr>
                <w:lang w:val="tr-TR"/>
              </w:rPr>
            </w:pPr>
            <w:r w:rsidRPr="00517CD0">
              <w:rPr>
                <w:lang w:val="tr-TR"/>
              </w:rPr>
              <w:t xml:space="preserve">2-4 </w:t>
            </w:r>
            <w:r w:rsidR="00D71382" w:rsidRPr="00517CD0">
              <w:rPr>
                <w:lang w:val="tr-TR"/>
              </w:rPr>
              <w:t>mikrogram</w:t>
            </w:r>
            <w:r w:rsidRPr="00517CD0">
              <w:rPr>
                <w:lang w:val="tr-TR"/>
              </w:rPr>
              <w:t xml:space="preserve"> artırınız</w:t>
            </w:r>
          </w:p>
        </w:tc>
      </w:tr>
      <w:tr w:rsidR="0050621D" w:rsidRPr="00517CD0" w:rsidTr="00D71382">
        <w:tc>
          <w:tcPr>
            <w:tcW w:w="5384" w:type="dxa"/>
          </w:tcPr>
          <w:p w:rsidR="0050621D" w:rsidRPr="00517CD0" w:rsidRDefault="0050621D" w:rsidP="00D71382">
            <w:pPr>
              <w:widowControl w:val="0"/>
              <w:autoSpaceDE w:val="0"/>
              <w:autoSpaceDN w:val="0"/>
              <w:adjustRightInd w:val="0"/>
              <w:ind w:right="48"/>
              <w:jc w:val="both"/>
              <w:rPr>
                <w:lang w:val="tr-TR"/>
              </w:rPr>
            </w:pPr>
            <w:r w:rsidRPr="00517CD0">
              <w:rPr>
                <w:lang w:val="tr-TR"/>
              </w:rPr>
              <w:t>&lt; % 30 azalma</w:t>
            </w:r>
          </w:p>
        </w:tc>
        <w:tc>
          <w:tcPr>
            <w:tcW w:w="3866" w:type="dxa"/>
          </w:tcPr>
          <w:p w:rsidR="0050621D" w:rsidRPr="00517CD0" w:rsidRDefault="0050621D" w:rsidP="00D71382">
            <w:pPr>
              <w:widowControl w:val="0"/>
              <w:autoSpaceDE w:val="0"/>
              <w:autoSpaceDN w:val="0"/>
              <w:adjustRightInd w:val="0"/>
              <w:ind w:right="48"/>
              <w:jc w:val="both"/>
              <w:rPr>
                <w:lang w:val="tr-TR"/>
              </w:rPr>
            </w:pPr>
            <w:r w:rsidRPr="00517CD0">
              <w:rPr>
                <w:lang w:val="tr-TR"/>
              </w:rPr>
              <w:t xml:space="preserve">2-4 </w:t>
            </w:r>
            <w:r w:rsidR="00D71382" w:rsidRPr="00517CD0">
              <w:rPr>
                <w:lang w:val="tr-TR"/>
              </w:rPr>
              <w:t>mikrogram</w:t>
            </w:r>
            <w:r w:rsidRPr="00517CD0">
              <w:rPr>
                <w:lang w:val="tr-TR"/>
              </w:rPr>
              <w:t xml:space="preserve"> artırınız</w:t>
            </w:r>
          </w:p>
        </w:tc>
      </w:tr>
      <w:tr w:rsidR="0050621D" w:rsidRPr="00517CD0" w:rsidTr="00D71382">
        <w:tc>
          <w:tcPr>
            <w:tcW w:w="5384" w:type="dxa"/>
          </w:tcPr>
          <w:p w:rsidR="0050621D" w:rsidRPr="00517CD0" w:rsidRDefault="0050621D" w:rsidP="00D71382">
            <w:pPr>
              <w:widowControl w:val="0"/>
              <w:autoSpaceDE w:val="0"/>
              <w:autoSpaceDN w:val="0"/>
              <w:adjustRightInd w:val="0"/>
              <w:ind w:right="48"/>
              <w:jc w:val="both"/>
              <w:rPr>
                <w:lang w:val="tr-TR"/>
              </w:rPr>
            </w:pPr>
            <w:r w:rsidRPr="00517CD0">
              <w:rPr>
                <w:lang w:val="tr-TR"/>
              </w:rPr>
              <w:t>≥ % 30 ile ≤ % 60 arasında azalma</w:t>
            </w:r>
          </w:p>
        </w:tc>
        <w:tc>
          <w:tcPr>
            <w:tcW w:w="3866" w:type="dxa"/>
          </w:tcPr>
          <w:p w:rsidR="0050621D" w:rsidRPr="00517CD0" w:rsidRDefault="0050621D" w:rsidP="00D71382">
            <w:pPr>
              <w:widowControl w:val="0"/>
              <w:autoSpaceDE w:val="0"/>
              <w:autoSpaceDN w:val="0"/>
              <w:adjustRightInd w:val="0"/>
              <w:ind w:right="48"/>
              <w:jc w:val="both"/>
              <w:rPr>
                <w:lang w:val="tr-TR"/>
              </w:rPr>
            </w:pPr>
            <w:r w:rsidRPr="00517CD0">
              <w:rPr>
                <w:lang w:val="tr-TR"/>
              </w:rPr>
              <w:t>İdame ediniz</w:t>
            </w:r>
          </w:p>
        </w:tc>
      </w:tr>
      <w:tr w:rsidR="0050621D" w:rsidRPr="00517CD0" w:rsidTr="00D71382">
        <w:tc>
          <w:tcPr>
            <w:tcW w:w="5384" w:type="dxa"/>
          </w:tcPr>
          <w:p w:rsidR="0050621D" w:rsidRPr="00517CD0" w:rsidRDefault="0050621D" w:rsidP="00D71382">
            <w:pPr>
              <w:widowControl w:val="0"/>
              <w:autoSpaceDE w:val="0"/>
              <w:autoSpaceDN w:val="0"/>
              <w:adjustRightInd w:val="0"/>
              <w:ind w:right="48"/>
              <w:jc w:val="both"/>
              <w:rPr>
                <w:lang w:val="tr-TR"/>
              </w:rPr>
            </w:pPr>
            <w:r w:rsidRPr="00517CD0">
              <w:rPr>
                <w:lang w:val="tr-TR"/>
              </w:rPr>
              <w:t>&gt; % 60 azalma</w:t>
            </w:r>
          </w:p>
        </w:tc>
        <w:tc>
          <w:tcPr>
            <w:tcW w:w="3866" w:type="dxa"/>
          </w:tcPr>
          <w:p w:rsidR="0050621D" w:rsidRPr="00517CD0" w:rsidRDefault="0050621D" w:rsidP="00D71382">
            <w:pPr>
              <w:widowControl w:val="0"/>
              <w:autoSpaceDE w:val="0"/>
              <w:autoSpaceDN w:val="0"/>
              <w:adjustRightInd w:val="0"/>
              <w:ind w:right="48"/>
              <w:jc w:val="both"/>
              <w:rPr>
                <w:lang w:val="tr-TR"/>
              </w:rPr>
            </w:pPr>
            <w:r w:rsidRPr="00517CD0">
              <w:rPr>
                <w:lang w:val="tr-TR"/>
              </w:rPr>
              <w:t xml:space="preserve">2-4 </w:t>
            </w:r>
            <w:r w:rsidR="00D71382" w:rsidRPr="00517CD0">
              <w:rPr>
                <w:lang w:val="tr-TR"/>
              </w:rPr>
              <w:t>mikrogram</w:t>
            </w:r>
            <w:r w:rsidRPr="00517CD0">
              <w:rPr>
                <w:lang w:val="tr-TR"/>
              </w:rPr>
              <w:t xml:space="preserve"> azaltınız</w:t>
            </w:r>
          </w:p>
        </w:tc>
      </w:tr>
      <w:tr w:rsidR="0050621D" w:rsidRPr="00517CD0" w:rsidTr="00D71382">
        <w:tc>
          <w:tcPr>
            <w:tcW w:w="5384" w:type="dxa"/>
          </w:tcPr>
          <w:p w:rsidR="0050621D" w:rsidRPr="00517CD0" w:rsidRDefault="0050621D" w:rsidP="001953E4">
            <w:pPr>
              <w:widowControl w:val="0"/>
              <w:autoSpaceDE w:val="0"/>
              <w:autoSpaceDN w:val="0"/>
              <w:adjustRightInd w:val="0"/>
              <w:ind w:right="48"/>
              <w:jc w:val="both"/>
              <w:rPr>
                <w:lang w:val="tr-TR"/>
              </w:rPr>
            </w:pPr>
            <w:proofErr w:type="spellStart"/>
            <w:r w:rsidRPr="00517CD0">
              <w:rPr>
                <w:lang w:val="tr-TR"/>
              </w:rPr>
              <w:t>iPTH</w:t>
            </w:r>
            <w:proofErr w:type="spellEnd"/>
            <w:r w:rsidRPr="00517CD0">
              <w:rPr>
                <w:lang w:val="tr-TR"/>
              </w:rPr>
              <w:t xml:space="preserve">&lt;150 </w:t>
            </w:r>
            <w:proofErr w:type="spellStart"/>
            <w:r w:rsidRPr="00517CD0">
              <w:rPr>
                <w:lang w:val="tr-TR"/>
              </w:rPr>
              <w:t>pg</w:t>
            </w:r>
            <w:proofErr w:type="spellEnd"/>
            <w:r w:rsidRPr="00517CD0">
              <w:rPr>
                <w:lang w:val="tr-TR"/>
              </w:rPr>
              <w:t>/m</w:t>
            </w:r>
            <w:r w:rsidR="001953E4" w:rsidRPr="00517CD0">
              <w:rPr>
                <w:lang w:val="tr-TR"/>
              </w:rPr>
              <w:t>L</w:t>
            </w:r>
          </w:p>
        </w:tc>
        <w:tc>
          <w:tcPr>
            <w:tcW w:w="3866" w:type="dxa"/>
          </w:tcPr>
          <w:p w:rsidR="0050621D" w:rsidRPr="00517CD0" w:rsidRDefault="0050621D" w:rsidP="00D71382">
            <w:pPr>
              <w:widowControl w:val="0"/>
              <w:autoSpaceDE w:val="0"/>
              <w:autoSpaceDN w:val="0"/>
              <w:adjustRightInd w:val="0"/>
              <w:ind w:right="48"/>
              <w:jc w:val="both"/>
              <w:rPr>
                <w:lang w:val="tr-TR"/>
              </w:rPr>
            </w:pPr>
            <w:r w:rsidRPr="00517CD0">
              <w:rPr>
                <w:lang w:val="tr-TR"/>
              </w:rPr>
              <w:t xml:space="preserve">2-4 </w:t>
            </w:r>
            <w:r w:rsidR="00D71382" w:rsidRPr="00517CD0">
              <w:rPr>
                <w:lang w:val="tr-TR"/>
              </w:rPr>
              <w:t>mikrogram</w:t>
            </w:r>
            <w:r w:rsidRPr="00517CD0">
              <w:rPr>
                <w:lang w:val="tr-TR"/>
              </w:rPr>
              <w:t xml:space="preserve"> azaltınız</w:t>
            </w:r>
          </w:p>
        </w:tc>
      </w:tr>
      <w:tr w:rsidR="0050621D" w:rsidRPr="00517CD0" w:rsidTr="00D71382">
        <w:tc>
          <w:tcPr>
            <w:tcW w:w="5384" w:type="dxa"/>
          </w:tcPr>
          <w:p w:rsidR="0050621D" w:rsidRPr="00517CD0" w:rsidRDefault="0050621D" w:rsidP="001953E4">
            <w:pPr>
              <w:widowControl w:val="0"/>
              <w:autoSpaceDE w:val="0"/>
              <w:autoSpaceDN w:val="0"/>
              <w:adjustRightInd w:val="0"/>
              <w:ind w:right="48"/>
              <w:jc w:val="both"/>
              <w:rPr>
                <w:lang w:val="tr-TR"/>
              </w:rPr>
            </w:pPr>
            <w:r w:rsidRPr="00517CD0">
              <w:rPr>
                <w:lang w:val="tr-TR"/>
              </w:rPr>
              <w:t xml:space="preserve">Normalin üst sınırının </w:t>
            </w:r>
            <w:proofErr w:type="gramStart"/>
            <w:r w:rsidRPr="00517CD0">
              <w:rPr>
                <w:lang w:val="tr-TR"/>
              </w:rPr>
              <w:t>1.5</w:t>
            </w:r>
            <w:proofErr w:type="gramEnd"/>
            <w:r w:rsidRPr="00517CD0">
              <w:rPr>
                <w:lang w:val="tr-TR"/>
              </w:rPr>
              <w:t xml:space="preserve"> ile 3 katı (150-300 </w:t>
            </w:r>
            <w:proofErr w:type="spellStart"/>
            <w:r w:rsidRPr="00517CD0">
              <w:rPr>
                <w:lang w:val="tr-TR"/>
              </w:rPr>
              <w:t>pg</w:t>
            </w:r>
            <w:proofErr w:type="spellEnd"/>
            <w:r w:rsidRPr="00517CD0">
              <w:rPr>
                <w:lang w:val="tr-TR"/>
              </w:rPr>
              <w:t>/m</w:t>
            </w:r>
            <w:r w:rsidR="001953E4" w:rsidRPr="00517CD0">
              <w:rPr>
                <w:lang w:val="tr-TR"/>
              </w:rPr>
              <w:t>L</w:t>
            </w:r>
            <w:r w:rsidRPr="00517CD0">
              <w:rPr>
                <w:lang w:val="tr-TR"/>
              </w:rPr>
              <w:t>)</w:t>
            </w:r>
          </w:p>
        </w:tc>
        <w:tc>
          <w:tcPr>
            <w:tcW w:w="3866" w:type="dxa"/>
          </w:tcPr>
          <w:p w:rsidR="0050621D" w:rsidRPr="00517CD0" w:rsidRDefault="0050621D" w:rsidP="00D71382">
            <w:pPr>
              <w:widowControl w:val="0"/>
              <w:autoSpaceDE w:val="0"/>
              <w:autoSpaceDN w:val="0"/>
              <w:adjustRightInd w:val="0"/>
              <w:ind w:right="48"/>
              <w:jc w:val="both"/>
              <w:rPr>
                <w:lang w:val="tr-TR"/>
              </w:rPr>
            </w:pPr>
            <w:r w:rsidRPr="00517CD0">
              <w:rPr>
                <w:lang w:val="tr-TR"/>
              </w:rPr>
              <w:t>İdame ediniz</w:t>
            </w:r>
          </w:p>
        </w:tc>
      </w:tr>
    </w:tbl>
    <w:p w:rsidR="00D71382" w:rsidRPr="00517CD0" w:rsidRDefault="00D71382" w:rsidP="0050621D">
      <w:pPr>
        <w:widowControl w:val="0"/>
        <w:autoSpaceDE w:val="0"/>
        <w:autoSpaceDN w:val="0"/>
        <w:adjustRightInd w:val="0"/>
        <w:ind w:right="48"/>
        <w:jc w:val="both"/>
        <w:rPr>
          <w:b/>
          <w:lang w:val="tr-TR"/>
        </w:rPr>
      </w:pPr>
    </w:p>
    <w:p w:rsidR="00D71382" w:rsidRPr="00517CD0" w:rsidRDefault="00D71382" w:rsidP="00D71382">
      <w:pPr>
        <w:widowControl w:val="0"/>
        <w:autoSpaceDE w:val="0"/>
        <w:autoSpaceDN w:val="0"/>
        <w:adjustRightInd w:val="0"/>
        <w:ind w:right="48"/>
        <w:jc w:val="both"/>
        <w:rPr>
          <w:b/>
          <w:lang w:val="tr-TR"/>
        </w:rPr>
      </w:pPr>
      <w:r w:rsidRPr="00517CD0">
        <w:rPr>
          <w:b/>
          <w:lang w:val="tr-TR"/>
        </w:rPr>
        <w:t>Uygulama şekli:</w:t>
      </w:r>
    </w:p>
    <w:p w:rsidR="00D71382" w:rsidRPr="00517CD0" w:rsidRDefault="00D71382" w:rsidP="00D71382">
      <w:pPr>
        <w:widowControl w:val="0"/>
        <w:autoSpaceDE w:val="0"/>
        <w:autoSpaceDN w:val="0"/>
        <w:adjustRightInd w:val="0"/>
        <w:ind w:right="48"/>
        <w:jc w:val="both"/>
        <w:rPr>
          <w:lang w:val="tr-TR"/>
        </w:rPr>
      </w:pPr>
    </w:p>
    <w:p w:rsidR="00AE1E20" w:rsidRPr="00517CD0" w:rsidRDefault="00D71382" w:rsidP="0050621D">
      <w:pPr>
        <w:widowControl w:val="0"/>
        <w:autoSpaceDE w:val="0"/>
        <w:autoSpaceDN w:val="0"/>
        <w:adjustRightInd w:val="0"/>
        <w:ind w:right="48"/>
        <w:jc w:val="both"/>
        <w:rPr>
          <w:lang w:val="tr-TR"/>
        </w:rPr>
      </w:pPr>
      <w:r w:rsidRPr="00517CD0">
        <w:rPr>
          <w:lang w:val="tr-TR"/>
        </w:rPr>
        <w:t>PARİKALSİ enjeksiyonluk çözeltinin normal uygulama yolu hemodiyaliz sırasında kan tüpü yoluyladır. Hemodiyaliz girişi olmayan hastalara uygulamadaki ağrıyı en aza indirmek için PARİKALSİ enjeksiyonluk çözeltisi 30 saniyeden az olmamak üzere yavaş intravenöz enjeksiyon ile verilmelidir.</w:t>
      </w:r>
    </w:p>
    <w:p w:rsidR="0050621D" w:rsidRPr="00517CD0" w:rsidRDefault="0050621D" w:rsidP="0050621D">
      <w:pPr>
        <w:widowControl w:val="0"/>
        <w:autoSpaceDE w:val="0"/>
        <w:autoSpaceDN w:val="0"/>
        <w:adjustRightInd w:val="0"/>
        <w:ind w:right="48"/>
        <w:jc w:val="both"/>
        <w:rPr>
          <w:lang w:val="tr-TR"/>
        </w:rPr>
      </w:pPr>
      <w:r w:rsidRPr="00517CD0">
        <w:rPr>
          <w:b/>
          <w:lang w:val="tr-TR"/>
        </w:rPr>
        <w:lastRenderedPageBreak/>
        <w:t>Özel popülasyonlara ilişkin ek bilgiler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Karaciğer yetmezliği:</w:t>
      </w: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Hafif ve orta şiddetli karaciğer bozukluğu olan hastalarda doz ayarlaması gerekmemektedir. Şiddetli karaciğer bozukluğunun </w:t>
      </w:r>
      <w:proofErr w:type="spellStart"/>
      <w:r w:rsidRPr="00517CD0">
        <w:rPr>
          <w:lang w:val="tr-TR"/>
        </w:rPr>
        <w:t>parikalsitol</w:t>
      </w:r>
      <w:proofErr w:type="spellEnd"/>
      <w:r w:rsidRPr="00517CD0">
        <w:rPr>
          <w:lang w:val="tr-TR"/>
        </w:rPr>
        <w:t xml:space="preserve"> farmakokinetiği üzerindeki etkisi incelenmemiştir.</w:t>
      </w:r>
    </w:p>
    <w:p w:rsidR="0050621D" w:rsidRPr="00517CD0" w:rsidRDefault="0050621D" w:rsidP="0050621D">
      <w:pPr>
        <w:widowControl w:val="0"/>
        <w:autoSpaceDE w:val="0"/>
        <w:autoSpaceDN w:val="0"/>
        <w:adjustRightInd w:val="0"/>
        <w:ind w:right="48"/>
        <w:jc w:val="both"/>
        <w:rPr>
          <w:lang w:val="tr-TR"/>
        </w:rPr>
      </w:pPr>
    </w:p>
    <w:p w:rsidR="00C8559B" w:rsidRPr="00517CD0" w:rsidRDefault="0050621D" w:rsidP="0050621D">
      <w:pPr>
        <w:widowControl w:val="0"/>
        <w:autoSpaceDE w:val="0"/>
        <w:autoSpaceDN w:val="0"/>
        <w:adjustRightInd w:val="0"/>
        <w:ind w:right="48"/>
        <w:jc w:val="both"/>
        <w:rPr>
          <w:lang w:val="tr-TR"/>
        </w:rPr>
      </w:pPr>
      <w:r w:rsidRPr="00517CD0">
        <w:rPr>
          <w:b/>
          <w:lang w:val="tr-TR"/>
        </w:rPr>
        <w:t>Böbrek yetmezliği:</w:t>
      </w:r>
      <w:r w:rsidRPr="00517CD0">
        <w:rPr>
          <w:lang w:val="tr-TR"/>
        </w:rPr>
        <w:t xml:space="preserve">  </w:t>
      </w:r>
    </w:p>
    <w:p w:rsidR="0050621D" w:rsidRPr="00517CD0" w:rsidRDefault="00C8559B" w:rsidP="0050621D">
      <w:pPr>
        <w:widowControl w:val="0"/>
        <w:autoSpaceDE w:val="0"/>
        <w:autoSpaceDN w:val="0"/>
        <w:adjustRightInd w:val="0"/>
        <w:ind w:right="48"/>
        <w:jc w:val="both"/>
        <w:rPr>
          <w:lang w:val="tr-TR"/>
        </w:rPr>
      </w:pPr>
      <w:r w:rsidRPr="00517CD0">
        <w:rPr>
          <w:lang w:val="tr-TR"/>
        </w:rPr>
        <w:t>Periton diyaliz veya hemodiyaliz alan hastalarda doz ayarlaması gerekmemektedir. Önemli olarak,</w:t>
      </w:r>
      <w:r w:rsidR="0050621D" w:rsidRPr="00517CD0">
        <w:rPr>
          <w:lang w:val="tr-TR"/>
        </w:rPr>
        <w:t xml:space="preserve"> sağlıklı bireylerle karşılaştırıldığında Kronik Böbrek Yetmezliği (KBY) </w:t>
      </w:r>
      <w:r w:rsidRPr="00517CD0">
        <w:rPr>
          <w:lang w:val="tr-TR"/>
        </w:rPr>
        <w:t xml:space="preserve">Evre 5 </w:t>
      </w:r>
      <w:r w:rsidR="0050621D" w:rsidRPr="00517CD0">
        <w:rPr>
          <w:lang w:val="tr-TR"/>
        </w:rPr>
        <w:t xml:space="preserve">hastaları azalmış </w:t>
      </w:r>
      <w:proofErr w:type="spellStart"/>
      <w:r w:rsidR="0050621D" w:rsidRPr="00517CD0">
        <w:rPr>
          <w:lang w:val="tr-TR"/>
        </w:rPr>
        <w:t>kl</w:t>
      </w:r>
      <w:r w:rsidR="001953E4" w:rsidRPr="00517CD0">
        <w:rPr>
          <w:lang w:val="tr-TR"/>
        </w:rPr>
        <w:t>i</w:t>
      </w:r>
      <w:r w:rsidR="0050621D" w:rsidRPr="00517CD0">
        <w:rPr>
          <w:lang w:val="tr-TR"/>
        </w:rPr>
        <w:t>rens</w:t>
      </w:r>
      <w:proofErr w:type="spellEnd"/>
      <w:r w:rsidR="0050621D" w:rsidRPr="00517CD0">
        <w:rPr>
          <w:lang w:val="tr-TR"/>
        </w:rPr>
        <w:t xml:space="preserve"> (KL) ve artmış yarı ömür göstermiştir.</w:t>
      </w:r>
    </w:p>
    <w:p w:rsidR="0050621D" w:rsidRPr="00517CD0" w:rsidRDefault="0050621D" w:rsidP="0050621D">
      <w:pPr>
        <w:widowControl w:val="0"/>
        <w:autoSpaceDE w:val="0"/>
        <w:autoSpaceDN w:val="0"/>
        <w:adjustRightInd w:val="0"/>
        <w:ind w:right="48"/>
        <w:jc w:val="both"/>
        <w:rPr>
          <w:lang w:val="tr-TR"/>
        </w:rPr>
      </w:pPr>
    </w:p>
    <w:p w:rsidR="00C8559B" w:rsidRPr="00517CD0" w:rsidRDefault="0050621D" w:rsidP="0050621D">
      <w:pPr>
        <w:widowControl w:val="0"/>
        <w:autoSpaceDE w:val="0"/>
        <w:autoSpaceDN w:val="0"/>
        <w:adjustRightInd w:val="0"/>
        <w:ind w:right="48"/>
        <w:jc w:val="both"/>
        <w:rPr>
          <w:lang w:val="tr-TR"/>
        </w:rPr>
      </w:pPr>
      <w:r w:rsidRPr="00517CD0">
        <w:rPr>
          <w:b/>
          <w:lang w:val="tr-TR"/>
        </w:rPr>
        <w:t>Pediyatrik popülasyon:</w:t>
      </w:r>
      <w:r w:rsidRPr="00517CD0">
        <w:rPr>
          <w:lang w:val="tr-TR"/>
        </w:rPr>
        <w:t xml:space="preserve"> </w:t>
      </w: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Pediyatrik hastalardaki veriler sınırlıdır ve 5 yaşın altındaki çocuklar için veri bulunmamaktadır (Bkz. Bölüm </w:t>
      </w:r>
      <w:proofErr w:type="gramStart"/>
      <w:r w:rsidRPr="00517CD0">
        <w:rPr>
          <w:lang w:val="tr-TR"/>
        </w:rPr>
        <w:t>5.1</w:t>
      </w:r>
      <w:proofErr w:type="gramEnd"/>
      <w:r w:rsidRPr="00517CD0">
        <w:rPr>
          <w:lang w:val="tr-TR"/>
        </w:rPr>
        <w:t>. Farmakodinamik özellikler).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b/>
          <w:lang w:val="tr-TR"/>
        </w:rPr>
        <w:t>Geriyatrik popülasyon</w:t>
      </w:r>
      <w:r w:rsidRPr="00517CD0">
        <w:rPr>
          <w:lang w:val="tr-TR"/>
        </w:rPr>
        <w:t xml:space="preserve">: </w:t>
      </w:r>
    </w:p>
    <w:p w:rsidR="00C8559B" w:rsidRPr="00517CD0" w:rsidRDefault="00C8559B" w:rsidP="00C8559B">
      <w:pPr>
        <w:autoSpaceDE w:val="0"/>
        <w:autoSpaceDN w:val="0"/>
        <w:adjustRightInd w:val="0"/>
        <w:jc w:val="both"/>
        <w:rPr>
          <w:rFonts w:eastAsia="HiddenHorzOCR"/>
          <w:lang w:val="tr-TR"/>
        </w:rPr>
      </w:pPr>
      <w:r w:rsidRPr="00517CD0">
        <w:rPr>
          <w:rFonts w:eastAsiaTheme="minorHAnsi"/>
          <w:lang w:val="tr-TR"/>
        </w:rPr>
        <w:t xml:space="preserve">65 </w:t>
      </w:r>
      <w:r w:rsidRPr="00517CD0">
        <w:rPr>
          <w:rFonts w:eastAsia="HiddenHorzOCR"/>
          <w:lang w:val="tr-TR"/>
        </w:rPr>
        <w:t xml:space="preserve">yaş </w:t>
      </w:r>
      <w:r w:rsidRPr="00517CD0">
        <w:rPr>
          <w:rFonts w:eastAsiaTheme="minorHAnsi"/>
          <w:lang w:val="tr-TR"/>
        </w:rPr>
        <w:t xml:space="preserve">üzerindeki hastalarda veya Faz III </w:t>
      </w:r>
      <w:r w:rsidRPr="00517CD0">
        <w:rPr>
          <w:rFonts w:eastAsia="HiddenHorzOCR"/>
          <w:lang w:val="tr-TR"/>
        </w:rPr>
        <w:t xml:space="preserve">çalışmalarında </w:t>
      </w:r>
      <w:proofErr w:type="spellStart"/>
      <w:r w:rsidRPr="00517CD0">
        <w:rPr>
          <w:rFonts w:eastAsiaTheme="minorHAnsi"/>
          <w:lang w:val="tr-TR"/>
        </w:rPr>
        <w:t>parakalsitol</w:t>
      </w:r>
      <w:proofErr w:type="spellEnd"/>
      <w:r w:rsidRPr="00517CD0">
        <w:rPr>
          <w:rFonts w:eastAsiaTheme="minorHAnsi"/>
          <w:lang w:val="tr-TR"/>
        </w:rPr>
        <w:t xml:space="preserve"> alımı üzerine kısıtlı deneyim mevcuttur. Bu </w:t>
      </w:r>
      <w:r w:rsidRPr="00517CD0">
        <w:rPr>
          <w:rFonts w:eastAsia="HiddenHorzOCR"/>
          <w:lang w:val="tr-TR"/>
        </w:rPr>
        <w:t xml:space="preserve">çalışmalarda </w:t>
      </w:r>
      <w:r w:rsidRPr="00517CD0">
        <w:rPr>
          <w:rFonts w:eastAsiaTheme="minorHAnsi"/>
          <w:lang w:val="tr-TR"/>
        </w:rPr>
        <w:t>65 yaş ve</w:t>
      </w:r>
      <w:r w:rsidRPr="00517CD0">
        <w:rPr>
          <w:rFonts w:eastAsia="HiddenHorzOCR"/>
          <w:lang w:val="tr-TR"/>
        </w:rPr>
        <w:t xml:space="preserve"> </w:t>
      </w:r>
      <w:r w:rsidRPr="00517CD0">
        <w:rPr>
          <w:rFonts w:eastAsiaTheme="minorHAnsi"/>
          <w:lang w:val="tr-TR"/>
        </w:rPr>
        <w:t>üzerindeki hastalar ile genç hastalar arasında etkililik ya da güvenlilik yönünden farklar</w:t>
      </w:r>
      <w:r w:rsidRPr="00517CD0">
        <w:rPr>
          <w:rFonts w:eastAsia="HiddenHorzOCR"/>
          <w:lang w:val="tr-TR"/>
        </w:rPr>
        <w:t xml:space="preserve"> gözlenmemiştir.</w:t>
      </w:r>
    </w:p>
    <w:p w:rsidR="00C8559B" w:rsidRPr="00517CD0" w:rsidRDefault="00C8559B" w:rsidP="00C8559B">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Parenteral</w:t>
      </w:r>
      <w:proofErr w:type="spellEnd"/>
      <w:r w:rsidRPr="00517CD0">
        <w:rPr>
          <w:lang w:val="tr-TR"/>
        </w:rPr>
        <w:t xml:space="preserve"> ilaç ürünleri solüsyon ve ambalajın izin verdiği ölçüde partiküllü madde ve renk değişimi yönünden gözle incelenmelidir.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TEK KULLANIMLIKTIR. KULLANILMAYAN KISMI ATILMALIDIR.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 xml:space="preserve">4.3. </w:t>
      </w:r>
      <w:proofErr w:type="spellStart"/>
      <w:r w:rsidRPr="00517CD0">
        <w:rPr>
          <w:b/>
          <w:lang w:val="tr-TR"/>
        </w:rPr>
        <w:t>Kontrendikasyonlar</w:t>
      </w:r>
      <w:proofErr w:type="spellEnd"/>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PARİKALSİ enjeksiyonluk çözelti vitamin D toksisitesi, </w:t>
      </w:r>
      <w:proofErr w:type="spellStart"/>
      <w:r w:rsidRPr="00517CD0">
        <w:rPr>
          <w:lang w:val="tr-TR"/>
        </w:rPr>
        <w:t>hiperkalsemi</w:t>
      </w:r>
      <w:proofErr w:type="spellEnd"/>
      <w:r w:rsidRPr="00517CD0">
        <w:rPr>
          <w:lang w:val="tr-TR"/>
        </w:rPr>
        <w:t xml:space="preserve"> veya bu ürünün içeriklerinden birine </w:t>
      </w:r>
      <w:r w:rsidR="00E53850" w:rsidRPr="00517CD0">
        <w:rPr>
          <w:lang w:val="tr-TR"/>
        </w:rPr>
        <w:t>karşı hipersensitivitesi</w:t>
      </w:r>
      <w:r w:rsidRPr="00517CD0">
        <w:rPr>
          <w:lang w:val="tr-TR"/>
        </w:rPr>
        <w:t xml:space="preserve"> olan hastalara verilmemelidir (Bkz. Bölüm </w:t>
      </w:r>
      <w:proofErr w:type="gramStart"/>
      <w:r w:rsidRPr="00517CD0">
        <w:rPr>
          <w:lang w:val="tr-TR"/>
        </w:rPr>
        <w:t>4.4</w:t>
      </w:r>
      <w:proofErr w:type="gramEnd"/>
      <w:r w:rsidRPr="00517CD0">
        <w:rPr>
          <w:lang w:val="tr-TR"/>
        </w:rPr>
        <w:t xml:space="preserve">. Özel </w:t>
      </w:r>
      <w:r w:rsidR="00E53850" w:rsidRPr="00517CD0">
        <w:rPr>
          <w:lang w:val="tr-TR"/>
        </w:rPr>
        <w:t>kullanım uyarıları</w:t>
      </w:r>
      <w:r w:rsidRPr="00517CD0">
        <w:rPr>
          <w:lang w:val="tr-TR"/>
        </w:rPr>
        <w:t xml:space="preserve"> ve önlemleri).</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4.4. Özel kullanım uyarıları ve önlemleri</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Paratiroid</w:t>
      </w:r>
      <w:proofErr w:type="spellEnd"/>
      <w:r w:rsidRPr="00517CD0">
        <w:rPr>
          <w:lang w:val="tr-TR"/>
        </w:rPr>
        <w:t xml:space="preserve"> hormonunun aşırı baskılanması, serum kalsiyum seviyelerinde artış ile sonuçlanabilir ve metabolik kemik hastalığına yol açabilir. Uygun fizyolojik sonuca ulaşmak için hasta monitorizasyonu ve bireysel doz </w:t>
      </w:r>
      <w:proofErr w:type="spellStart"/>
      <w:r w:rsidRPr="00517CD0">
        <w:rPr>
          <w:lang w:val="tr-TR"/>
        </w:rPr>
        <w:t>titrasyonu</w:t>
      </w:r>
      <w:proofErr w:type="spellEnd"/>
      <w:r w:rsidRPr="00517CD0">
        <w:rPr>
          <w:lang w:val="tr-TR"/>
        </w:rPr>
        <w:t xml:space="preserve"> gereklidir.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Eğer klinik olarak anlamlı bir </w:t>
      </w:r>
      <w:proofErr w:type="spellStart"/>
      <w:r w:rsidRPr="00517CD0">
        <w:rPr>
          <w:lang w:val="tr-TR"/>
        </w:rPr>
        <w:t>hiperkalsemi</w:t>
      </w:r>
      <w:proofErr w:type="spellEnd"/>
      <w:r w:rsidRPr="00517CD0">
        <w:rPr>
          <w:lang w:val="tr-TR"/>
        </w:rPr>
        <w:t xml:space="preserve"> gelişirse ve hasta kalsiyum kaynaklı fosfat bağlayıcı alıyorsa, kalsiyum kaynaklı fosfat bağlayıcının dozu azaltılmalı ya da kesilmelidir.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PARİKALSİ’nin</w:t>
      </w:r>
      <w:proofErr w:type="spellEnd"/>
      <w:r w:rsidRPr="00517CD0">
        <w:rPr>
          <w:lang w:val="tr-TR"/>
        </w:rPr>
        <w:t xml:space="preserve"> akut aşırı dozu </w:t>
      </w:r>
      <w:proofErr w:type="spellStart"/>
      <w:r w:rsidRPr="00517CD0">
        <w:rPr>
          <w:lang w:val="tr-TR"/>
        </w:rPr>
        <w:t>hiperkalsemiye</w:t>
      </w:r>
      <w:proofErr w:type="spellEnd"/>
      <w:r w:rsidRPr="00517CD0">
        <w:rPr>
          <w:lang w:val="tr-TR"/>
        </w:rPr>
        <w:t xml:space="preserve"> neden olabilir ve acil müdahale gerektirir. Doz ayarlaması sırasında serum kalsiyum ve fosfor düzeyleri yakından izlenmelidir. Eğer klinik olarak anlamlı </w:t>
      </w:r>
      <w:proofErr w:type="spellStart"/>
      <w:r w:rsidRPr="00517CD0">
        <w:rPr>
          <w:lang w:val="tr-TR"/>
        </w:rPr>
        <w:t>hiperkalsemi</w:t>
      </w:r>
      <w:proofErr w:type="spellEnd"/>
      <w:r w:rsidRPr="00517CD0">
        <w:rPr>
          <w:lang w:val="tr-TR"/>
        </w:rPr>
        <w:t xml:space="preserve"> gelişirse doz azaltılmalı ya da kesilmelidir. </w:t>
      </w:r>
      <w:proofErr w:type="spellStart"/>
      <w:r w:rsidRPr="00517CD0">
        <w:rPr>
          <w:lang w:val="tr-TR"/>
        </w:rPr>
        <w:t>PARİKALSİ’nin</w:t>
      </w:r>
      <w:proofErr w:type="spellEnd"/>
      <w:r w:rsidRPr="00517CD0">
        <w:rPr>
          <w:lang w:val="tr-TR"/>
        </w:rPr>
        <w:t xml:space="preserve"> kronik kullanımı hastada </w:t>
      </w:r>
      <w:proofErr w:type="spellStart"/>
      <w:r w:rsidRPr="00517CD0">
        <w:rPr>
          <w:lang w:val="tr-TR"/>
        </w:rPr>
        <w:t>hiperkalsemi</w:t>
      </w:r>
      <w:proofErr w:type="spellEnd"/>
      <w:r w:rsidRPr="00517CD0">
        <w:rPr>
          <w:lang w:val="tr-TR"/>
        </w:rPr>
        <w:t>, kalsiyum ve fosfor düzeylerinin çarpımının (</w:t>
      </w:r>
      <w:proofErr w:type="spellStart"/>
      <w:r w:rsidRPr="00517CD0">
        <w:rPr>
          <w:lang w:val="tr-TR"/>
        </w:rPr>
        <w:t>Ca</w:t>
      </w:r>
      <w:proofErr w:type="spellEnd"/>
      <w:r w:rsidRPr="00517CD0">
        <w:rPr>
          <w:lang w:val="tr-TR"/>
        </w:rPr>
        <w:t xml:space="preserve"> x P) yükselmesi ve </w:t>
      </w:r>
      <w:proofErr w:type="spellStart"/>
      <w:r w:rsidRPr="00517CD0">
        <w:rPr>
          <w:lang w:val="tr-TR"/>
        </w:rPr>
        <w:t>metastatik</w:t>
      </w:r>
      <w:proofErr w:type="spellEnd"/>
      <w:r w:rsidRPr="00517CD0">
        <w:rPr>
          <w:lang w:val="tr-TR"/>
        </w:rPr>
        <w:t xml:space="preserve"> kalsifikasyon riskine yol açabilir.</w:t>
      </w:r>
    </w:p>
    <w:p w:rsidR="001953E4" w:rsidRPr="00517CD0" w:rsidRDefault="001953E4" w:rsidP="001953E4">
      <w:pPr>
        <w:autoSpaceDE w:val="0"/>
        <w:autoSpaceDN w:val="0"/>
        <w:adjustRightInd w:val="0"/>
        <w:jc w:val="both"/>
        <w:rPr>
          <w:lang w:val="tr-TR"/>
        </w:rPr>
      </w:pPr>
    </w:p>
    <w:p w:rsidR="001953E4" w:rsidRPr="00517CD0" w:rsidRDefault="001953E4" w:rsidP="001953E4">
      <w:pPr>
        <w:autoSpaceDE w:val="0"/>
        <w:autoSpaceDN w:val="0"/>
        <w:adjustRightInd w:val="0"/>
        <w:jc w:val="both"/>
        <w:rPr>
          <w:lang w:val="tr-TR"/>
        </w:rPr>
      </w:pPr>
      <w:r w:rsidRPr="00517CD0">
        <w:rPr>
          <w:lang w:val="tr-TR"/>
        </w:rPr>
        <w:t xml:space="preserve">Kronik </w:t>
      </w:r>
      <w:proofErr w:type="spellStart"/>
      <w:r w:rsidRPr="00517CD0">
        <w:rPr>
          <w:lang w:val="tr-TR"/>
        </w:rPr>
        <w:t>hiperkalsemi</w:t>
      </w:r>
      <w:proofErr w:type="spellEnd"/>
      <w:r w:rsidRPr="00517CD0">
        <w:rPr>
          <w:lang w:val="tr-TR"/>
        </w:rPr>
        <w:t xml:space="preserve"> yaygın </w:t>
      </w:r>
      <w:proofErr w:type="spellStart"/>
      <w:r w:rsidRPr="00517CD0">
        <w:rPr>
          <w:lang w:val="tr-TR"/>
        </w:rPr>
        <w:t>vasküler</w:t>
      </w:r>
      <w:proofErr w:type="spellEnd"/>
      <w:r w:rsidRPr="00517CD0">
        <w:rPr>
          <w:lang w:val="tr-TR"/>
        </w:rPr>
        <w:t xml:space="preserve"> kalsifikasyona ve diğer yumuşak doku kalsifikasyonuna neden olabilir.</w:t>
      </w:r>
    </w:p>
    <w:p w:rsidR="00AE1E20" w:rsidRPr="00517CD0" w:rsidRDefault="00AE1E20" w:rsidP="001953E4">
      <w:pPr>
        <w:autoSpaceDE w:val="0"/>
        <w:autoSpaceDN w:val="0"/>
        <w:adjustRightInd w:val="0"/>
        <w:jc w:val="both"/>
        <w:rPr>
          <w:lang w:val="tr-TR"/>
        </w:rPr>
      </w:pPr>
    </w:p>
    <w:p w:rsidR="00FA03B7" w:rsidRPr="00FA03B7" w:rsidRDefault="001953E4" w:rsidP="00FA03B7">
      <w:pPr>
        <w:autoSpaceDE w:val="0"/>
        <w:autoSpaceDN w:val="0"/>
        <w:adjustRightInd w:val="0"/>
        <w:jc w:val="both"/>
        <w:rPr>
          <w:lang w:val="tr-TR"/>
        </w:rPr>
      </w:pPr>
      <w:r w:rsidRPr="00FA03B7">
        <w:rPr>
          <w:lang w:val="tr-TR"/>
        </w:rPr>
        <w:lastRenderedPageBreak/>
        <w:t xml:space="preserve">Dijital toksisitesi herhangi bir nedenden </w:t>
      </w:r>
      <w:proofErr w:type="spellStart"/>
      <w:r w:rsidRPr="00FA03B7">
        <w:rPr>
          <w:lang w:val="tr-TR"/>
        </w:rPr>
        <w:t>hiperkalsemi</w:t>
      </w:r>
      <w:proofErr w:type="spellEnd"/>
      <w:r w:rsidRPr="00FA03B7">
        <w:rPr>
          <w:lang w:val="tr-TR"/>
        </w:rPr>
        <w:t xml:space="preserve"> ile </w:t>
      </w:r>
      <w:proofErr w:type="spellStart"/>
      <w:r w:rsidRPr="00FA03B7">
        <w:rPr>
          <w:lang w:val="tr-TR"/>
        </w:rPr>
        <w:t>potansiyelize</w:t>
      </w:r>
      <w:proofErr w:type="spellEnd"/>
      <w:r w:rsidRPr="00FA03B7">
        <w:rPr>
          <w:lang w:val="tr-TR"/>
        </w:rPr>
        <w:t xml:space="preserve"> olur, bu nedenle </w:t>
      </w:r>
      <w:proofErr w:type="spellStart"/>
      <w:r w:rsidRPr="00FA03B7">
        <w:rPr>
          <w:lang w:val="tr-TR"/>
        </w:rPr>
        <w:t>parakalsitol</w:t>
      </w:r>
      <w:proofErr w:type="spellEnd"/>
      <w:r w:rsidRPr="00FA03B7">
        <w:rPr>
          <w:lang w:val="tr-TR"/>
        </w:rPr>
        <w:t xml:space="preserve"> ile birlikte dijital </w:t>
      </w:r>
      <w:proofErr w:type="spellStart"/>
      <w:r w:rsidRPr="00FA03B7">
        <w:rPr>
          <w:lang w:val="tr-TR"/>
        </w:rPr>
        <w:t>reçetelendiğinde</w:t>
      </w:r>
      <w:proofErr w:type="spellEnd"/>
      <w:r w:rsidRPr="00FA03B7">
        <w:rPr>
          <w:lang w:val="tr-TR"/>
        </w:rPr>
        <w:t xml:space="preserve"> dik</w:t>
      </w:r>
      <w:r w:rsidR="0045050C" w:rsidRPr="00FA03B7">
        <w:rPr>
          <w:lang w:val="tr-TR"/>
        </w:rPr>
        <w:t xml:space="preserve">katli olunmalıdır </w:t>
      </w:r>
      <w:r w:rsidR="00FA03B7" w:rsidRPr="00FA03B7">
        <w:rPr>
          <w:lang w:val="tr-TR"/>
        </w:rPr>
        <w:t xml:space="preserve">Bkz. Bölüm </w:t>
      </w:r>
      <w:proofErr w:type="gramStart"/>
      <w:r w:rsidR="00FA03B7" w:rsidRPr="00FA03B7">
        <w:rPr>
          <w:lang w:val="tr-TR"/>
        </w:rPr>
        <w:t>4.5</w:t>
      </w:r>
      <w:proofErr w:type="gramEnd"/>
      <w:r w:rsidR="00FA03B7" w:rsidRPr="00FA03B7">
        <w:rPr>
          <w:lang w:val="tr-TR"/>
        </w:rPr>
        <w:t>. Diğer tıbbi ürünler ile etkileşimler ve diğer etkileşim şekilleri).</w:t>
      </w:r>
    </w:p>
    <w:p w:rsidR="001953E4" w:rsidRPr="00517CD0" w:rsidRDefault="001953E4"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PARİKALSİ’nin</w:t>
      </w:r>
      <w:proofErr w:type="spellEnd"/>
      <w:r w:rsidRPr="00517CD0">
        <w:rPr>
          <w:lang w:val="tr-TR"/>
        </w:rPr>
        <w:t xml:space="preserve"> kronik kullanımı seyrek olarak </w:t>
      </w:r>
      <w:proofErr w:type="spellStart"/>
      <w:r w:rsidRPr="00517CD0">
        <w:rPr>
          <w:lang w:val="tr-TR"/>
        </w:rPr>
        <w:t>hiperkalsemiye</w:t>
      </w:r>
      <w:proofErr w:type="spellEnd"/>
      <w:r w:rsidRPr="00517CD0">
        <w:rPr>
          <w:lang w:val="tr-TR"/>
        </w:rPr>
        <w:t xml:space="preserve"> bağlı potansiyel aritmi ve </w:t>
      </w:r>
      <w:proofErr w:type="spellStart"/>
      <w:r w:rsidRPr="00517CD0">
        <w:rPr>
          <w:lang w:val="tr-TR"/>
        </w:rPr>
        <w:t>konvulziyon</w:t>
      </w:r>
      <w:proofErr w:type="spellEnd"/>
      <w:r w:rsidRPr="00517CD0">
        <w:rPr>
          <w:lang w:val="tr-TR"/>
        </w:rPr>
        <w:t xml:space="preserve"> komplikasyonları ile sonuçlanabilir.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PTH düzeyleri anormal düzeylere baskılandığında </w:t>
      </w:r>
      <w:proofErr w:type="spellStart"/>
      <w:r w:rsidRPr="00517CD0">
        <w:rPr>
          <w:lang w:val="tr-TR"/>
        </w:rPr>
        <w:t>adinamik</w:t>
      </w:r>
      <w:proofErr w:type="spellEnd"/>
      <w:r w:rsidRPr="00517CD0">
        <w:rPr>
          <w:lang w:val="tr-TR"/>
        </w:rPr>
        <w:t xml:space="preserve"> kemik lezyonları (düşük döngülü kemik hastalığı) gelişebilir.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w:t>
      </w:r>
      <w:proofErr w:type="spellEnd"/>
      <w:r w:rsidRPr="00517CD0">
        <w:rPr>
          <w:lang w:val="tr-TR"/>
        </w:rPr>
        <w:t>, ketokonazol ile beraber kullanılıyorsa dikkat edilmelidir.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Laboratuar Testleri: PARİKALSİ ile doz ayarlaması sırasında ve dozaj belirlenmeden önce laboratuar testlerinin daha sık yapılması gerekebilir. Doz bir kez belirlendikten sonra serum kalsiyum ve fosfor en az ayda bir kez ölçülmelidir. Serum veya plazma </w:t>
      </w:r>
      <w:proofErr w:type="spellStart"/>
      <w:r w:rsidRPr="00517CD0">
        <w:rPr>
          <w:lang w:val="tr-TR"/>
        </w:rPr>
        <w:t>intakt</w:t>
      </w:r>
      <w:proofErr w:type="spellEnd"/>
      <w:r w:rsidRPr="00517CD0">
        <w:rPr>
          <w:lang w:val="tr-TR"/>
        </w:rPr>
        <w:t xml:space="preserve"> PTH ölçümünün her üç ayda bir yapılması önerilir (Bkz. Bölüm </w:t>
      </w:r>
      <w:proofErr w:type="gramStart"/>
      <w:r w:rsidR="00AE1E20" w:rsidRPr="00517CD0">
        <w:rPr>
          <w:lang w:val="tr-TR"/>
        </w:rPr>
        <w:t>4.2</w:t>
      </w:r>
      <w:proofErr w:type="gramEnd"/>
      <w:r w:rsidR="00347EF6" w:rsidRPr="00517CD0">
        <w:rPr>
          <w:lang w:val="tr-TR"/>
        </w:rPr>
        <w:t>.</w:t>
      </w:r>
      <w:r w:rsidR="00AE1E20" w:rsidRPr="00517CD0">
        <w:rPr>
          <w:lang w:val="tr-TR"/>
        </w:rPr>
        <w:t xml:space="preserve"> Pozoloji ve Uygulama Şekli</w:t>
      </w:r>
      <w:r w:rsidRPr="00517CD0">
        <w:rPr>
          <w:lang w:val="tr-TR"/>
        </w:rPr>
        <w:t xml:space="preserve">). </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PARİKALSİ </w:t>
      </w:r>
      <w:r w:rsidR="00347EF6" w:rsidRPr="00517CD0">
        <w:rPr>
          <w:lang w:val="tr-TR"/>
        </w:rPr>
        <w:t xml:space="preserve">5 mcg/mL </w:t>
      </w:r>
      <w:r w:rsidR="00FA03B7">
        <w:rPr>
          <w:lang w:val="tr-TR"/>
        </w:rPr>
        <w:t>İ</w:t>
      </w:r>
      <w:r w:rsidR="00347EF6" w:rsidRPr="00517CD0">
        <w:rPr>
          <w:lang w:val="tr-TR"/>
        </w:rPr>
        <w:t xml:space="preserve">.V. enjeksiyonluk çözelti içeren ampul </w:t>
      </w:r>
      <w:r w:rsidRPr="00517CD0">
        <w:rPr>
          <w:lang w:val="tr-TR"/>
        </w:rPr>
        <w:t xml:space="preserve">167.440 mg etanol (alkol) içerir. </w:t>
      </w:r>
      <w:r w:rsidR="004335A1" w:rsidRPr="00517CD0">
        <w:rPr>
          <w:lang w:val="tr-TR"/>
        </w:rPr>
        <w:t xml:space="preserve">Her bir doz </w:t>
      </w:r>
      <w:proofErr w:type="gramStart"/>
      <w:r w:rsidR="004335A1" w:rsidRPr="00517CD0">
        <w:rPr>
          <w:lang w:val="tr-TR"/>
        </w:rPr>
        <w:t>1.3</w:t>
      </w:r>
      <w:proofErr w:type="gramEnd"/>
      <w:r w:rsidR="004335A1" w:rsidRPr="00517CD0">
        <w:rPr>
          <w:lang w:val="tr-TR"/>
        </w:rPr>
        <w:t xml:space="preserve"> </w:t>
      </w:r>
      <w:proofErr w:type="spellStart"/>
      <w:r w:rsidR="004335A1" w:rsidRPr="00517CD0">
        <w:rPr>
          <w:lang w:val="tr-TR"/>
        </w:rPr>
        <w:t>g’a</w:t>
      </w:r>
      <w:proofErr w:type="spellEnd"/>
      <w:r w:rsidR="004335A1" w:rsidRPr="00517CD0">
        <w:rPr>
          <w:lang w:val="tr-TR"/>
        </w:rPr>
        <w:t xml:space="preserve"> kadar alkol içerebilir. </w:t>
      </w:r>
      <w:r w:rsidRPr="00517CD0">
        <w:rPr>
          <w:lang w:val="tr-TR"/>
        </w:rPr>
        <w:t>Alkolizm şikayeti olanlar için zararlıdır.</w:t>
      </w:r>
    </w:p>
    <w:p w:rsidR="00347EF6" w:rsidRPr="00517CD0" w:rsidRDefault="00347EF6" w:rsidP="00347EF6">
      <w:pPr>
        <w:widowControl w:val="0"/>
        <w:autoSpaceDE w:val="0"/>
        <w:autoSpaceDN w:val="0"/>
        <w:adjustRightInd w:val="0"/>
        <w:ind w:right="11"/>
        <w:jc w:val="both"/>
        <w:rPr>
          <w:lang w:val="tr-TR"/>
        </w:rPr>
      </w:pPr>
    </w:p>
    <w:p w:rsidR="0050621D" w:rsidRPr="00517CD0" w:rsidRDefault="00347EF6" w:rsidP="00347EF6">
      <w:pPr>
        <w:widowControl w:val="0"/>
        <w:autoSpaceDE w:val="0"/>
        <w:autoSpaceDN w:val="0"/>
        <w:adjustRightInd w:val="0"/>
        <w:ind w:right="11"/>
        <w:jc w:val="both"/>
        <w:rPr>
          <w:lang w:val="tr-TR"/>
        </w:rPr>
      </w:pPr>
      <w:r w:rsidRPr="00517CD0">
        <w:rPr>
          <w:lang w:val="tr-TR"/>
        </w:rPr>
        <w:t xml:space="preserve">İçerdiği </w:t>
      </w:r>
      <w:proofErr w:type="spellStart"/>
      <w:r w:rsidRPr="00517CD0">
        <w:rPr>
          <w:lang w:val="tr-TR"/>
        </w:rPr>
        <w:t>propilen</w:t>
      </w:r>
      <w:proofErr w:type="spellEnd"/>
      <w:r w:rsidRPr="00517CD0">
        <w:rPr>
          <w:lang w:val="tr-TR"/>
        </w:rPr>
        <w:t xml:space="preserve"> glikol nedeniyle, alkol benzeri semptomlara neden olabilir.</w:t>
      </w:r>
    </w:p>
    <w:p w:rsidR="00347EF6" w:rsidRPr="00517CD0" w:rsidRDefault="00347EF6"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Hamile veya emziren kadınlarda, çocuklarda ve karaciğer hastalığı veya epilepsisi olan hastalar gibi yüksek risk gruplarında bu durum dikkate alınmalıdır.</w:t>
      </w:r>
    </w:p>
    <w:p w:rsidR="0050621D" w:rsidRPr="00517CD0" w:rsidRDefault="0050621D" w:rsidP="0050621D">
      <w:pPr>
        <w:widowControl w:val="0"/>
        <w:autoSpaceDE w:val="0"/>
        <w:autoSpaceDN w:val="0"/>
        <w:adjustRightInd w:val="0"/>
        <w:ind w:right="48"/>
        <w:jc w:val="both"/>
        <w:rPr>
          <w:b/>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4.5.  Diğer tıbbi ürünler ile etkileşimler ve diğer etkileşim şekilleri</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PARİKALSİ’nin</w:t>
      </w:r>
      <w:proofErr w:type="spellEnd"/>
      <w:r w:rsidRPr="00517CD0">
        <w:rPr>
          <w:lang w:val="tr-TR"/>
        </w:rPr>
        <w:t xml:space="preserve">, </w:t>
      </w:r>
      <w:proofErr w:type="spellStart"/>
      <w:r w:rsidRPr="00517CD0">
        <w:rPr>
          <w:lang w:val="tr-TR"/>
        </w:rPr>
        <w:t>sitokrom</w:t>
      </w:r>
      <w:proofErr w:type="spellEnd"/>
      <w:r w:rsidRPr="00517CD0">
        <w:rPr>
          <w:lang w:val="tr-TR"/>
        </w:rPr>
        <w:t xml:space="preserve"> P450 enzimleri (CYP1A2, CYP2A6, CYP2B6, CYP2C8, CYP2C9, CYP2C19, CYP2D6, CYP2E1 veya CYP3A) ile metabolize olan ilaçları inhibe etmesi ve CYP2B6, CYP2C9 veya CYP3A ile metabolize olan ilaçların </w:t>
      </w:r>
      <w:proofErr w:type="spellStart"/>
      <w:r w:rsidR="00AE1E20" w:rsidRPr="00517CD0">
        <w:rPr>
          <w:lang w:val="tr-TR"/>
        </w:rPr>
        <w:t>klirensini</w:t>
      </w:r>
      <w:proofErr w:type="spellEnd"/>
      <w:r w:rsidR="00AE1E20" w:rsidRPr="00517CD0">
        <w:rPr>
          <w:lang w:val="tr-TR"/>
        </w:rPr>
        <w:t xml:space="preserve"> </w:t>
      </w:r>
      <w:r w:rsidRPr="00517CD0">
        <w:rPr>
          <w:lang w:val="tr-TR"/>
        </w:rPr>
        <w:t>indüklemesi beklenmemektedir.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w:t>
      </w:r>
      <w:proofErr w:type="spellEnd"/>
      <w:r w:rsidRPr="00517CD0">
        <w:rPr>
          <w:lang w:val="tr-TR"/>
        </w:rPr>
        <w:t xml:space="preserve"> enjeksiyonluk çözelti ile spesifik etkileşim çalışmaları yapılmamıştır. </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Ketokonazol: </w:t>
      </w:r>
      <w:proofErr w:type="spellStart"/>
      <w:r w:rsidRPr="00517CD0">
        <w:rPr>
          <w:lang w:val="tr-TR"/>
        </w:rPr>
        <w:t>Parikalsitol</w:t>
      </w:r>
      <w:proofErr w:type="spellEnd"/>
      <w:r w:rsidRPr="00517CD0">
        <w:rPr>
          <w:lang w:val="tr-TR"/>
        </w:rPr>
        <w:t xml:space="preserve"> enjeksiyonluk çözelti ile çalışılmamış olmasına rağmen, </w:t>
      </w:r>
      <w:proofErr w:type="spellStart"/>
      <w:r w:rsidRPr="00517CD0">
        <w:rPr>
          <w:lang w:val="tr-TR"/>
        </w:rPr>
        <w:t>ketokonazolün</w:t>
      </w:r>
      <w:proofErr w:type="spellEnd"/>
      <w:r w:rsidRPr="00517CD0">
        <w:rPr>
          <w:lang w:val="tr-TR"/>
        </w:rPr>
        <w:t xml:space="preserve"> 200 </w:t>
      </w:r>
      <w:proofErr w:type="spellStart"/>
      <w:r w:rsidRPr="00517CD0">
        <w:rPr>
          <w:lang w:val="tr-TR"/>
        </w:rPr>
        <w:t>mg’lık</w:t>
      </w:r>
      <w:proofErr w:type="spellEnd"/>
      <w:r w:rsidRPr="00517CD0">
        <w:rPr>
          <w:lang w:val="tr-TR"/>
        </w:rPr>
        <w:t xml:space="preserve"> çoklu dozla, 5 gün boyunca günde 2 kez alınmasının </w:t>
      </w:r>
      <w:proofErr w:type="spellStart"/>
      <w:r w:rsidRPr="00517CD0">
        <w:rPr>
          <w:lang w:val="tr-TR"/>
        </w:rPr>
        <w:t>parikalsitol</w:t>
      </w:r>
      <w:proofErr w:type="spellEnd"/>
      <w:r w:rsidRPr="00517CD0">
        <w:rPr>
          <w:lang w:val="tr-TR"/>
        </w:rPr>
        <w:t xml:space="preserve"> kapsüllerin farmakokinetiği üzerindeki etkisi sağlıklı deneklerde çalışılmıştır.  Ketokonazol varlığında </w:t>
      </w:r>
      <w:proofErr w:type="spellStart"/>
      <w:r w:rsidRPr="00517CD0">
        <w:rPr>
          <w:lang w:val="tr-TR"/>
        </w:rPr>
        <w:t>parikalsitolün</w:t>
      </w:r>
      <w:proofErr w:type="spellEnd"/>
      <w:r w:rsidRPr="00517CD0">
        <w:rPr>
          <w:lang w:val="tr-TR"/>
        </w:rPr>
        <w:t xml:space="preserve"> C</w:t>
      </w:r>
      <w:r w:rsidRPr="00517CD0">
        <w:rPr>
          <w:vertAlign w:val="subscript"/>
          <w:lang w:val="tr-TR"/>
        </w:rPr>
        <w:t>ma</w:t>
      </w:r>
      <w:r w:rsidR="00C8559B" w:rsidRPr="00517CD0">
        <w:rPr>
          <w:vertAlign w:val="subscript"/>
          <w:lang w:val="tr-TR"/>
        </w:rPr>
        <w:t>ks</w:t>
      </w:r>
      <w:r w:rsidRPr="00517CD0">
        <w:rPr>
          <w:lang w:val="tr-TR"/>
        </w:rPr>
        <w:t xml:space="preserve"> değeri en az etkilenmiş,  fakat </w:t>
      </w:r>
      <w:proofErr w:type="spellStart"/>
      <w:r w:rsidRPr="00517CD0">
        <w:rPr>
          <w:lang w:val="tr-TR"/>
        </w:rPr>
        <w:t>EAA</w:t>
      </w:r>
      <w:r w:rsidRPr="00517CD0">
        <w:rPr>
          <w:vertAlign w:val="subscript"/>
          <w:lang w:val="tr-TR"/>
        </w:rPr>
        <w:t>o</w:t>
      </w:r>
      <w:proofErr w:type="spellEnd"/>
      <w:r w:rsidRPr="00517CD0">
        <w:rPr>
          <w:vertAlign w:val="subscript"/>
          <w:lang w:val="tr-TR"/>
        </w:rPr>
        <w:t>-∞</w:t>
      </w:r>
      <w:r w:rsidRPr="00517CD0">
        <w:rPr>
          <w:lang w:val="tr-TR"/>
        </w:rPr>
        <w:t xml:space="preserve"> değeri yaklaşık olarak ikiye katlanmıştır. </w:t>
      </w:r>
      <w:proofErr w:type="spellStart"/>
      <w:r w:rsidRPr="00517CD0">
        <w:rPr>
          <w:lang w:val="tr-TR"/>
        </w:rPr>
        <w:t>Parikalsitolün</w:t>
      </w:r>
      <w:proofErr w:type="spellEnd"/>
      <w:r w:rsidRPr="00517CD0">
        <w:rPr>
          <w:lang w:val="tr-TR"/>
        </w:rPr>
        <w:t xml:space="preserve"> ortalama yarı ömrü, tek başına alındığındaki </w:t>
      </w:r>
      <w:proofErr w:type="gramStart"/>
      <w:r w:rsidRPr="00517CD0">
        <w:rPr>
          <w:lang w:val="tr-TR"/>
        </w:rPr>
        <w:t>9.8</w:t>
      </w:r>
      <w:proofErr w:type="gramEnd"/>
      <w:r w:rsidRPr="00517CD0">
        <w:rPr>
          <w:lang w:val="tr-TR"/>
        </w:rPr>
        <w:t xml:space="preserve"> saate kıyasla, ketokonazol varlığında 17.0 saattir (Bkz. Bölüm </w:t>
      </w:r>
      <w:r w:rsidR="00AE1E20" w:rsidRPr="00517CD0">
        <w:rPr>
          <w:lang w:val="tr-TR"/>
        </w:rPr>
        <w:t>5. Farmakolojik Özellikler</w:t>
      </w:r>
      <w:r w:rsidRPr="00517CD0">
        <w:rPr>
          <w:lang w:val="tr-TR"/>
        </w:rPr>
        <w:t>).</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Dijital toksisitesi herhangi bir nedene bağlı </w:t>
      </w:r>
      <w:proofErr w:type="spellStart"/>
      <w:r w:rsidRPr="00517CD0">
        <w:rPr>
          <w:lang w:val="tr-TR"/>
        </w:rPr>
        <w:t>hiperkalsemi</w:t>
      </w:r>
      <w:proofErr w:type="spellEnd"/>
      <w:r w:rsidRPr="00517CD0">
        <w:rPr>
          <w:lang w:val="tr-TR"/>
        </w:rPr>
        <w:t xml:space="preserve"> tarafından </w:t>
      </w:r>
      <w:proofErr w:type="spellStart"/>
      <w:r w:rsidRPr="00517CD0">
        <w:rPr>
          <w:lang w:val="tr-TR"/>
        </w:rPr>
        <w:t>potansiyalize</w:t>
      </w:r>
      <w:proofErr w:type="spellEnd"/>
      <w:r w:rsidRPr="00517CD0">
        <w:rPr>
          <w:lang w:val="tr-TR"/>
        </w:rPr>
        <w:t xml:space="preserve"> edilebilir; bu nedenle PARİKALSİ ile birlikte dijital verildiğinde dikkatli olunmalıdır.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Fosfat veya vitamin D ilişkili tıbbi ürünler, artan </w:t>
      </w:r>
      <w:proofErr w:type="spellStart"/>
      <w:r w:rsidRPr="00517CD0">
        <w:rPr>
          <w:lang w:val="tr-TR"/>
        </w:rPr>
        <w:t>hiperkalsemi</w:t>
      </w:r>
      <w:proofErr w:type="spellEnd"/>
      <w:r w:rsidRPr="00517CD0">
        <w:rPr>
          <w:lang w:val="tr-TR"/>
        </w:rPr>
        <w:t xml:space="preserve"> riski ve kalsiyum fosfor çarpımı (</w:t>
      </w:r>
      <w:proofErr w:type="spellStart"/>
      <w:r w:rsidRPr="00517CD0">
        <w:rPr>
          <w:lang w:val="tr-TR"/>
        </w:rPr>
        <w:t>CaxP</w:t>
      </w:r>
      <w:proofErr w:type="spellEnd"/>
      <w:r w:rsidRPr="00517CD0">
        <w:rPr>
          <w:lang w:val="tr-TR"/>
        </w:rPr>
        <w:t xml:space="preserve">) yükselmesi nedeniyle </w:t>
      </w:r>
      <w:proofErr w:type="spellStart"/>
      <w:r w:rsidRPr="00517CD0">
        <w:rPr>
          <w:lang w:val="tr-TR"/>
        </w:rPr>
        <w:t>parikalsitol</w:t>
      </w:r>
      <w:proofErr w:type="spellEnd"/>
      <w:r w:rsidRPr="00517CD0">
        <w:rPr>
          <w:lang w:val="tr-TR"/>
        </w:rPr>
        <w:t xml:space="preserve"> ile birlikte alınmamalıdır.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Artmış alüminyum kan seviyesinden dolayı ve alüminyum kemik toksisitesi oluşabileceği için alüminyum içeren preparatlar (örn. antiasitler, fosfat bağlayıcılar) kronik bir şekilde vitamin D tıbbi ürünleri ile birlikte kullanılmamalıdır.</w:t>
      </w:r>
    </w:p>
    <w:p w:rsidR="008C64EC" w:rsidRPr="00517CD0" w:rsidRDefault="008C64EC"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Kalsiyum bağlayıcı preparatların veya </w:t>
      </w:r>
      <w:proofErr w:type="spellStart"/>
      <w:r w:rsidRPr="00517CD0">
        <w:rPr>
          <w:lang w:val="tr-TR"/>
        </w:rPr>
        <w:t>tiyazid</w:t>
      </w:r>
      <w:proofErr w:type="spellEnd"/>
      <w:r w:rsidRPr="00517CD0">
        <w:rPr>
          <w:lang w:val="tr-TR"/>
        </w:rPr>
        <w:t xml:space="preserve"> </w:t>
      </w:r>
      <w:proofErr w:type="spellStart"/>
      <w:r w:rsidRPr="00517CD0">
        <w:rPr>
          <w:lang w:val="tr-TR"/>
        </w:rPr>
        <w:t>diüretiklerinin</w:t>
      </w:r>
      <w:proofErr w:type="spellEnd"/>
      <w:r w:rsidRPr="00517CD0">
        <w:rPr>
          <w:lang w:val="tr-TR"/>
        </w:rPr>
        <w:t xml:space="preserve"> yüksek dozları </w:t>
      </w:r>
      <w:proofErr w:type="spellStart"/>
      <w:r w:rsidRPr="00517CD0">
        <w:rPr>
          <w:lang w:val="tr-TR"/>
        </w:rPr>
        <w:t>hiperkalsemi</w:t>
      </w:r>
      <w:proofErr w:type="spellEnd"/>
      <w:r w:rsidRPr="00517CD0">
        <w:rPr>
          <w:lang w:val="tr-TR"/>
        </w:rPr>
        <w:t xml:space="preserve"> riskini arttırabilir.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Magnezyum içeren preparatlar (örn. antiasitler) vitamin D prepara</w:t>
      </w:r>
      <w:r w:rsidR="00600848" w:rsidRPr="00517CD0">
        <w:rPr>
          <w:lang w:val="tr-TR"/>
        </w:rPr>
        <w:t xml:space="preserve">tları ile beraber alınmamalıdır </w:t>
      </w:r>
      <w:r w:rsidRPr="00517CD0">
        <w:rPr>
          <w:lang w:val="tr-TR"/>
        </w:rPr>
        <w:t xml:space="preserve">çünkü </w:t>
      </w:r>
      <w:proofErr w:type="spellStart"/>
      <w:r w:rsidRPr="00517CD0">
        <w:rPr>
          <w:lang w:val="tr-TR"/>
        </w:rPr>
        <w:t>hipermagnezemi</w:t>
      </w:r>
      <w:proofErr w:type="spellEnd"/>
      <w:r w:rsidRPr="00517CD0">
        <w:rPr>
          <w:lang w:val="tr-TR"/>
        </w:rPr>
        <w:t xml:space="preserve"> oluşabilir.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 xml:space="preserve">4.6. Gebelik ve </w:t>
      </w:r>
      <w:proofErr w:type="spellStart"/>
      <w:r w:rsidRPr="00517CD0">
        <w:rPr>
          <w:b/>
          <w:lang w:val="tr-TR"/>
        </w:rPr>
        <w:t>laktasyon</w:t>
      </w:r>
      <w:proofErr w:type="spellEnd"/>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Genel tavsiye</w:t>
      </w:r>
    </w:p>
    <w:p w:rsidR="0050621D" w:rsidRPr="00517CD0" w:rsidRDefault="0050621D" w:rsidP="0050621D">
      <w:pPr>
        <w:widowControl w:val="0"/>
        <w:autoSpaceDE w:val="0"/>
        <w:autoSpaceDN w:val="0"/>
        <w:adjustRightInd w:val="0"/>
        <w:ind w:right="48"/>
        <w:jc w:val="both"/>
        <w:rPr>
          <w:lang w:val="tr-TR"/>
        </w:rPr>
      </w:pPr>
      <w:r w:rsidRPr="00517CD0">
        <w:rPr>
          <w:lang w:val="tr-TR"/>
        </w:rPr>
        <w:t>Gebelik kategorisi: C.</w:t>
      </w:r>
    </w:p>
    <w:p w:rsidR="0050621D" w:rsidRPr="00517CD0" w:rsidRDefault="0050621D" w:rsidP="0050621D">
      <w:pPr>
        <w:widowControl w:val="0"/>
        <w:autoSpaceDE w:val="0"/>
        <w:autoSpaceDN w:val="0"/>
        <w:adjustRightInd w:val="0"/>
        <w:ind w:right="48"/>
        <w:jc w:val="both"/>
        <w:rPr>
          <w:lang w:val="tr-TR"/>
        </w:rPr>
      </w:pPr>
    </w:p>
    <w:p w:rsidR="001B4751" w:rsidRPr="00517CD0" w:rsidRDefault="00C8559B" w:rsidP="001B4751">
      <w:pPr>
        <w:autoSpaceDE w:val="0"/>
        <w:autoSpaceDN w:val="0"/>
        <w:adjustRightInd w:val="0"/>
        <w:rPr>
          <w:lang w:val="tr-TR"/>
        </w:rPr>
      </w:pPr>
      <w:r w:rsidRPr="00517CD0">
        <w:rPr>
          <w:b/>
          <w:lang w:val="tr-TR"/>
        </w:rPr>
        <w:t>Çocuk doğurma potansiyeli bulunan kadınlar/Doğum kontrolü</w:t>
      </w:r>
      <w:r w:rsidR="001B4751" w:rsidRPr="00517CD0">
        <w:rPr>
          <w:b/>
          <w:lang w:val="tr-TR"/>
        </w:rPr>
        <w:t xml:space="preserve"> (Kontrasepsiyon) </w:t>
      </w:r>
    </w:p>
    <w:p w:rsidR="00C8559B" w:rsidRPr="00517CD0" w:rsidRDefault="00C8559B" w:rsidP="001B4751">
      <w:pPr>
        <w:autoSpaceDE w:val="0"/>
        <w:autoSpaceDN w:val="0"/>
        <w:adjustRightInd w:val="0"/>
        <w:jc w:val="both"/>
        <w:rPr>
          <w:lang w:val="tr-TR"/>
        </w:rPr>
      </w:pPr>
      <w:r w:rsidRPr="00517CD0">
        <w:rPr>
          <w:lang w:val="tr-TR"/>
        </w:rPr>
        <w:t>PARİKALSİ hamilelikte ve do</w:t>
      </w:r>
      <w:r w:rsidR="001B4751" w:rsidRPr="00517CD0">
        <w:rPr>
          <w:lang w:val="tr-TR"/>
        </w:rPr>
        <w:t>ğum kontrolü</w:t>
      </w:r>
      <w:r w:rsidRPr="00517CD0">
        <w:rPr>
          <w:lang w:val="tr-TR"/>
        </w:rPr>
        <w:t xml:space="preserve"> kullan</w:t>
      </w:r>
      <w:r w:rsidR="001953E4" w:rsidRPr="00517CD0">
        <w:rPr>
          <w:lang w:val="tr-TR"/>
        </w:rPr>
        <w:t>m</w:t>
      </w:r>
      <w:r w:rsidRPr="00517CD0">
        <w:rPr>
          <w:lang w:val="tr-TR"/>
        </w:rPr>
        <w:t xml:space="preserve">ayan </w:t>
      </w:r>
      <w:r w:rsidR="001B4751" w:rsidRPr="00517CD0">
        <w:rPr>
          <w:lang w:val="tr-TR"/>
        </w:rPr>
        <w:t>ç</w:t>
      </w:r>
      <w:r w:rsidRPr="00517CD0">
        <w:rPr>
          <w:lang w:val="tr-TR"/>
        </w:rPr>
        <w:t>ocuk do</w:t>
      </w:r>
      <w:r w:rsidR="001B4751" w:rsidRPr="00517CD0">
        <w:rPr>
          <w:lang w:val="tr-TR"/>
        </w:rPr>
        <w:t xml:space="preserve">ğurma potansiyeli </w:t>
      </w:r>
      <w:r w:rsidRPr="00517CD0">
        <w:rPr>
          <w:lang w:val="tr-TR"/>
        </w:rPr>
        <w:t>bulunan kad</w:t>
      </w:r>
      <w:r w:rsidR="001B4751" w:rsidRPr="00517CD0">
        <w:rPr>
          <w:lang w:val="tr-TR"/>
        </w:rPr>
        <w:t>ı</w:t>
      </w:r>
      <w:r w:rsidRPr="00517CD0">
        <w:rPr>
          <w:lang w:val="tr-TR"/>
        </w:rPr>
        <w:t xml:space="preserve">nlarda </w:t>
      </w:r>
      <w:r w:rsidR="001B4751" w:rsidRPr="00517CD0">
        <w:rPr>
          <w:lang w:val="tr-TR"/>
        </w:rPr>
        <w:t>önerilmemektedir.</w:t>
      </w:r>
    </w:p>
    <w:p w:rsidR="00C8559B" w:rsidRPr="00517CD0" w:rsidRDefault="00C8559B" w:rsidP="0050621D">
      <w:pPr>
        <w:widowControl w:val="0"/>
        <w:autoSpaceDE w:val="0"/>
        <w:autoSpaceDN w:val="0"/>
        <w:adjustRightInd w:val="0"/>
        <w:ind w:right="48"/>
        <w:jc w:val="both"/>
        <w:rPr>
          <w:b/>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Gebelik dönemi</w:t>
      </w: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Hayvan çalışmaları üreme toksisitesi göstermiştir (Bkz. Bölüm </w:t>
      </w:r>
      <w:proofErr w:type="gramStart"/>
      <w:r w:rsidRPr="00517CD0">
        <w:rPr>
          <w:lang w:val="tr-TR"/>
        </w:rPr>
        <w:t>5.3</w:t>
      </w:r>
      <w:proofErr w:type="gramEnd"/>
      <w:r w:rsidRPr="00517CD0">
        <w:rPr>
          <w:lang w:val="tr-TR"/>
        </w:rPr>
        <w:t>. Klinik öncesi güvenlilik verileri).</w:t>
      </w:r>
    </w:p>
    <w:p w:rsidR="0050621D" w:rsidRPr="00517CD0" w:rsidRDefault="0050621D" w:rsidP="0050621D">
      <w:pPr>
        <w:widowControl w:val="0"/>
        <w:autoSpaceDE w:val="0"/>
        <w:autoSpaceDN w:val="0"/>
        <w:adjustRightInd w:val="0"/>
        <w:ind w:right="48"/>
        <w:jc w:val="both"/>
        <w:rPr>
          <w:lang w:val="tr-TR"/>
        </w:rPr>
      </w:pPr>
      <w:r w:rsidRPr="00517CD0">
        <w:rPr>
          <w:lang w:val="tr-TR"/>
        </w:rPr>
        <w:t>Gebe kadınlarda yeterli ve iyi kontrollü çalışmalar yoktur. İnsanlardaki kullanımında potansiyel risk bilinmemektedir bundan dolayı PARİKALSİ kesinlikle gerekli olmadıkça kullanılmamalıdır.</w:t>
      </w:r>
    </w:p>
    <w:p w:rsidR="0050621D" w:rsidRPr="00517CD0" w:rsidRDefault="0050621D" w:rsidP="0050621D">
      <w:pPr>
        <w:widowControl w:val="0"/>
        <w:autoSpaceDE w:val="0"/>
        <w:autoSpaceDN w:val="0"/>
        <w:adjustRightInd w:val="0"/>
        <w:ind w:right="48"/>
        <w:jc w:val="both"/>
        <w:rPr>
          <w:b/>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Laktasyon Dönemi</w:t>
      </w: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Sıçanlardaki çalışmalar </w:t>
      </w:r>
      <w:proofErr w:type="spellStart"/>
      <w:r w:rsidRPr="00517CD0">
        <w:rPr>
          <w:lang w:val="tr-TR"/>
        </w:rPr>
        <w:t>parikalsitolün</w:t>
      </w:r>
      <w:proofErr w:type="spellEnd"/>
      <w:r w:rsidRPr="00517CD0">
        <w:rPr>
          <w:lang w:val="tr-TR"/>
        </w:rPr>
        <w:t xml:space="preserve"> süte geçtiğini göstermiştir.  </w:t>
      </w:r>
      <w:proofErr w:type="spellStart"/>
      <w:r w:rsidRPr="00517CD0">
        <w:rPr>
          <w:lang w:val="tr-TR"/>
        </w:rPr>
        <w:t>Parikalsitolün</w:t>
      </w:r>
      <w:proofErr w:type="spellEnd"/>
      <w:r w:rsidRPr="00517CD0">
        <w:rPr>
          <w:lang w:val="tr-TR"/>
        </w:rPr>
        <w:t xml:space="preserve"> insan sütüne geçip geçmediği bilinmemektedir.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Emziren annede ilacın annedeki önemi dikkate alınarak emzirmenin veya ilacın kesilip kesilmeyeceği kararının verilmesi gereklidir.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4.7. Araç ve makine kullanımı üzerindeki etkiler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Araç ve makine kullanma yeteneği üzerindeki etkileriyle ilgili çalışmalar yapılmamıştır.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4.8. İstenmeyen Etkiler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1B4751">
      <w:pPr>
        <w:widowControl w:val="0"/>
        <w:autoSpaceDE w:val="0"/>
        <w:autoSpaceDN w:val="0"/>
        <w:adjustRightInd w:val="0"/>
        <w:ind w:right="48"/>
        <w:jc w:val="both"/>
        <w:rPr>
          <w:lang w:val="tr-TR"/>
        </w:rPr>
      </w:pPr>
      <w:proofErr w:type="spellStart"/>
      <w:r w:rsidRPr="00517CD0">
        <w:rPr>
          <w:lang w:val="tr-TR"/>
        </w:rPr>
        <w:t>Parikalsitol</w:t>
      </w:r>
      <w:proofErr w:type="spellEnd"/>
      <w:r w:rsidRPr="00517CD0">
        <w:rPr>
          <w:lang w:val="tr-TR"/>
        </w:rPr>
        <w:t xml:space="preserve"> ile Faz II,  III ve IV klinik çalışmalarda yaklaşık 600 hasta tedavi edilmiştir.</w:t>
      </w:r>
      <w:r w:rsidR="001B4751" w:rsidRPr="00517CD0">
        <w:rPr>
          <w:lang w:val="tr-TR"/>
        </w:rPr>
        <w:t xml:space="preserve"> </w:t>
      </w:r>
      <w:r w:rsidRPr="00517CD0">
        <w:rPr>
          <w:lang w:val="tr-TR"/>
        </w:rPr>
        <w:t xml:space="preserve">Bütünüyle, </w:t>
      </w:r>
      <w:proofErr w:type="spellStart"/>
      <w:r w:rsidRPr="00517CD0">
        <w:rPr>
          <w:lang w:val="tr-TR"/>
        </w:rPr>
        <w:t>parikalsitol</w:t>
      </w:r>
      <w:proofErr w:type="spellEnd"/>
      <w:r w:rsidRPr="00517CD0">
        <w:rPr>
          <w:lang w:val="tr-TR"/>
        </w:rPr>
        <w:t xml:space="preserve"> ile tedavi edilen hastaların % 6’sı advers reaksiyonlar bildirmiştir.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w:t>
      </w:r>
      <w:proofErr w:type="spellEnd"/>
      <w:r w:rsidRPr="00517CD0">
        <w:rPr>
          <w:lang w:val="tr-TR"/>
        </w:rPr>
        <w:t xml:space="preserve"> tedavisi ile ilişkilendirilen en yaygın advers reaksiyon hastaların % </w:t>
      </w:r>
      <w:proofErr w:type="gramStart"/>
      <w:r w:rsidRPr="00517CD0">
        <w:rPr>
          <w:lang w:val="tr-TR"/>
        </w:rPr>
        <w:t>4.7’sinde</w:t>
      </w:r>
      <w:proofErr w:type="gramEnd"/>
      <w:r w:rsidRPr="00517CD0">
        <w:rPr>
          <w:lang w:val="tr-TR"/>
        </w:rPr>
        <w:t xml:space="preserve"> oluşan </w:t>
      </w:r>
      <w:proofErr w:type="spellStart"/>
      <w:r w:rsidRPr="00517CD0">
        <w:rPr>
          <w:lang w:val="tr-TR"/>
        </w:rPr>
        <w:t>hiperkalsemidir</w:t>
      </w:r>
      <w:proofErr w:type="spellEnd"/>
      <w:r w:rsidRPr="00517CD0">
        <w:rPr>
          <w:lang w:val="tr-TR"/>
        </w:rPr>
        <w:t xml:space="preserve">. </w:t>
      </w:r>
      <w:proofErr w:type="spellStart"/>
      <w:r w:rsidRPr="00517CD0">
        <w:rPr>
          <w:lang w:val="tr-TR"/>
        </w:rPr>
        <w:t>Hiperkalsemi</w:t>
      </w:r>
      <w:proofErr w:type="spellEnd"/>
      <w:r w:rsidRPr="00517CD0">
        <w:rPr>
          <w:lang w:val="tr-TR"/>
        </w:rPr>
        <w:t xml:space="preserve">, </w:t>
      </w:r>
      <w:proofErr w:type="spellStart"/>
      <w:r w:rsidRPr="00517CD0">
        <w:rPr>
          <w:lang w:val="tr-TR"/>
        </w:rPr>
        <w:t>PTH’ın</w:t>
      </w:r>
      <w:proofErr w:type="spellEnd"/>
      <w:r w:rsidRPr="00517CD0">
        <w:rPr>
          <w:lang w:val="tr-TR"/>
        </w:rPr>
        <w:t xml:space="preserve"> aşırı baskılanma seviyesine bağlıdır ve uygun bir doz </w:t>
      </w:r>
      <w:proofErr w:type="spellStart"/>
      <w:r w:rsidRPr="00517CD0">
        <w:rPr>
          <w:lang w:val="tr-TR"/>
        </w:rPr>
        <w:t>titrasyonu</w:t>
      </w:r>
      <w:proofErr w:type="spellEnd"/>
      <w:r w:rsidRPr="00517CD0">
        <w:rPr>
          <w:lang w:val="tr-TR"/>
        </w:rPr>
        <w:t xml:space="preserve"> ile en aza indirgenebilir.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Klinik </w:t>
      </w:r>
      <w:r w:rsidR="001B4751" w:rsidRPr="00517CD0">
        <w:rPr>
          <w:lang w:val="tr-TR"/>
        </w:rPr>
        <w:t xml:space="preserve">ve laboratuar </w:t>
      </w:r>
      <w:r w:rsidRPr="00517CD0">
        <w:rPr>
          <w:lang w:val="tr-TR"/>
        </w:rPr>
        <w:t xml:space="preserve">çalışmalarda, </w:t>
      </w:r>
      <w:proofErr w:type="spellStart"/>
      <w:r w:rsidRPr="00517CD0">
        <w:rPr>
          <w:lang w:val="tr-TR"/>
        </w:rPr>
        <w:t>parikalsitol</w:t>
      </w:r>
      <w:proofErr w:type="spellEnd"/>
      <w:r w:rsidRPr="00517CD0">
        <w:rPr>
          <w:lang w:val="tr-TR"/>
        </w:rPr>
        <w:t xml:space="preserve"> ile muhtemelen ilişkili olan advers reaksiyonlar </w:t>
      </w:r>
      <w:r w:rsidR="001B4751" w:rsidRPr="00517CD0">
        <w:rPr>
          <w:lang w:val="tr-TR"/>
        </w:rPr>
        <w:t xml:space="preserve">MedDRA Organ Sistem Sınıflandırması, Tercih Edilen Terim ve </w:t>
      </w:r>
      <w:r w:rsidRPr="00517CD0">
        <w:rPr>
          <w:lang w:val="tr-TR"/>
        </w:rPr>
        <w:t xml:space="preserve">sıklık olarak </w:t>
      </w:r>
      <w:r w:rsidR="001B4751" w:rsidRPr="00517CD0">
        <w:rPr>
          <w:lang w:val="tr-TR"/>
        </w:rPr>
        <w:t>sunulmaktadır.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Sıklık kategorileri şu şekildedir; Çok</w:t>
      </w:r>
      <w:r w:rsidR="001B4751" w:rsidRPr="00517CD0">
        <w:rPr>
          <w:lang w:val="tr-TR"/>
        </w:rPr>
        <w:t xml:space="preserve"> yaygın (&gt;1/10); yaygın (&gt;1/100 ila</w:t>
      </w:r>
      <w:r w:rsidRPr="00517CD0">
        <w:rPr>
          <w:lang w:val="tr-TR"/>
        </w:rPr>
        <w:t xml:space="preserve"> &lt;1/10); yaygın olmayan (&gt;1/1.000</w:t>
      </w:r>
      <w:r w:rsidR="001B4751" w:rsidRPr="00517CD0">
        <w:rPr>
          <w:lang w:val="tr-TR"/>
        </w:rPr>
        <w:t xml:space="preserve"> ila</w:t>
      </w:r>
      <w:r w:rsidRPr="00517CD0">
        <w:rPr>
          <w:lang w:val="tr-TR"/>
        </w:rPr>
        <w:t xml:space="preserve"> &lt;1/100); seyrek (&gt;1/10.000</w:t>
      </w:r>
      <w:r w:rsidR="001B4751" w:rsidRPr="00517CD0">
        <w:rPr>
          <w:lang w:val="tr-TR"/>
        </w:rPr>
        <w:t xml:space="preserve"> ila</w:t>
      </w:r>
      <w:r w:rsidRPr="00517CD0">
        <w:rPr>
          <w:lang w:val="tr-TR"/>
        </w:rPr>
        <w:t xml:space="preserve"> &lt;</w:t>
      </w:r>
      <w:r w:rsidR="001B4751" w:rsidRPr="00517CD0">
        <w:rPr>
          <w:lang w:val="tr-TR"/>
        </w:rPr>
        <w:t>1/1.000); çok seyrek (&lt;1/10.000</w:t>
      </w:r>
      <w:r w:rsidRPr="00517CD0">
        <w:rPr>
          <w:lang w:val="tr-TR"/>
        </w:rPr>
        <w:t>), bilinmiyor (eldeki verilerden hareketle tahmin edilemiyor).</w:t>
      </w:r>
    </w:p>
    <w:p w:rsidR="00F37703" w:rsidRPr="00517CD0" w:rsidRDefault="00F37703"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2"/>
        <w:gridCol w:w="1422"/>
        <w:gridCol w:w="5146"/>
      </w:tblGrid>
      <w:tr w:rsidR="0050621D" w:rsidRPr="00517CD0" w:rsidTr="00D71382">
        <w:tc>
          <w:tcPr>
            <w:tcW w:w="0" w:type="auto"/>
          </w:tcPr>
          <w:p w:rsidR="0050621D" w:rsidRPr="00517CD0" w:rsidRDefault="0050621D" w:rsidP="001B4751">
            <w:pPr>
              <w:widowControl w:val="0"/>
              <w:autoSpaceDE w:val="0"/>
              <w:autoSpaceDN w:val="0"/>
              <w:adjustRightInd w:val="0"/>
              <w:ind w:right="48"/>
              <w:rPr>
                <w:b/>
                <w:lang w:val="tr-TR"/>
              </w:rPr>
            </w:pPr>
            <w:r w:rsidRPr="00517CD0">
              <w:rPr>
                <w:b/>
                <w:lang w:val="tr-TR"/>
              </w:rPr>
              <w:t xml:space="preserve">Sistem </w:t>
            </w:r>
            <w:r w:rsidR="001B4751" w:rsidRPr="00517CD0">
              <w:rPr>
                <w:b/>
                <w:lang w:val="tr-TR"/>
              </w:rPr>
              <w:t>Organ Sınıfı</w:t>
            </w:r>
          </w:p>
        </w:tc>
        <w:tc>
          <w:tcPr>
            <w:tcW w:w="0" w:type="auto"/>
          </w:tcPr>
          <w:p w:rsidR="0050621D" w:rsidRPr="00517CD0" w:rsidRDefault="0050621D" w:rsidP="00D71382">
            <w:pPr>
              <w:widowControl w:val="0"/>
              <w:autoSpaceDE w:val="0"/>
              <w:autoSpaceDN w:val="0"/>
              <w:adjustRightInd w:val="0"/>
              <w:ind w:right="48"/>
              <w:jc w:val="both"/>
              <w:rPr>
                <w:b/>
                <w:lang w:val="tr-TR"/>
              </w:rPr>
            </w:pPr>
            <w:r w:rsidRPr="00517CD0">
              <w:rPr>
                <w:b/>
                <w:lang w:val="tr-TR"/>
              </w:rPr>
              <w:t>Sıklık</w:t>
            </w:r>
          </w:p>
        </w:tc>
        <w:tc>
          <w:tcPr>
            <w:tcW w:w="5146" w:type="dxa"/>
          </w:tcPr>
          <w:p w:rsidR="0050621D" w:rsidRPr="00517CD0" w:rsidRDefault="001B4751" w:rsidP="001B4751">
            <w:pPr>
              <w:widowControl w:val="0"/>
              <w:autoSpaceDE w:val="0"/>
              <w:autoSpaceDN w:val="0"/>
              <w:adjustRightInd w:val="0"/>
              <w:ind w:right="48"/>
              <w:jc w:val="both"/>
              <w:rPr>
                <w:b/>
                <w:lang w:val="tr-TR"/>
              </w:rPr>
            </w:pPr>
            <w:r w:rsidRPr="00517CD0">
              <w:rPr>
                <w:b/>
                <w:lang w:val="tr-TR"/>
              </w:rPr>
              <w:t>Tercih edilen Terim</w:t>
            </w:r>
          </w:p>
        </w:tc>
      </w:tr>
      <w:tr w:rsidR="00AE6C5D" w:rsidRPr="00517CD0" w:rsidTr="00D71382">
        <w:tc>
          <w:tcPr>
            <w:tcW w:w="0" w:type="auto"/>
          </w:tcPr>
          <w:p w:rsidR="00AE6C5D" w:rsidRPr="00517CD0" w:rsidRDefault="00AE6C5D" w:rsidP="00D71382">
            <w:pPr>
              <w:widowControl w:val="0"/>
              <w:autoSpaceDE w:val="0"/>
              <w:autoSpaceDN w:val="0"/>
              <w:adjustRightInd w:val="0"/>
              <w:ind w:right="48"/>
              <w:rPr>
                <w:lang w:val="tr-TR"/>
              </w:rPr>
            </w:pPr>
            <w:r w:rsidRPr="00517CD0">
              <w:rPr>
                <w:lang w:val="tr-TR"/>
              </w:rPr>
              <w:t xml:space="preserve">Enfeksiyonlar ve </w:t>
            </w:r>
            <w:proofErr w:type="spellStart"/>
            <w:r w:rsidRPr="00517CD0">
              <w:rPr>
                <w:lang w:val="tr-TR"/>
              </w:rPr>
              <w:t>enfestasyonlar</w:t>
            </w:r>
            <w:proofErr w:type="spellEnd"/>
          </w:p>
        </w:tc>
        <w:tc>
          <w:tcPr>
            <w:tcW w:w="0" w:type="auto"/>
          </w:tcPr>
          <w:p w:rsidR="00AE6C5D" w:rsidRPr="00517CD0" w:rsidRDefault="00AE6C5D" w:rsidP="00D71382">
            <w:pPr>
              <w:widowControl w:val="0"/>
              <w:autoSpaceDE w:val="0"/>
              <w:autoSpaceDN w:val="0"/>
              <w:adjustRightInd w:val="0"/>
              <w:ind w:right="48"/>
              <w:rPr>
                <w:lang w:val="tr-TR"/>
              </w:rPr>
            </w:pPr>
            <w:r w:rsidRPr="00517CD0">
              <w:rPr>
                <w:lang w:val="tr-TR"/>
              </w:rPr>
              <w:t>Yaygın olmayan</w:t>
            </w:r>
          </w:p>
        </w:tc>
        <w:tc>
          <w:tcPr>
            <w:tcW w:w="5146" w:type="dxa"/>
          </w:tcPr>
          <w:p w:rsidR="00AE6C5D" w:rsidRPr="00517CD0" w:rsidRDefault="00AE6C5D" w:rsidP="00D71382">
            <w:pPr>
              <w:widowControl w:val="0"/>
              <w:autoSpaceDE w:val="0"/>
              <w:autoSpaceDN w:val="0"/>
              <w:adjustRightInd w:val="0"/>
              <w:ind w:right="48"/>
              <w:jc w:val="both"/>
              <w:rPr>
                <w:lang w:val="tr-TR"/>
              </w:rPr>
            </w:pPr>
            <w:proofErr w:type="spellStart"/>
            <w:r w:rsidRPr="00517CD0">
              <w:rPr>
                <w:lang w:val="tr-TR"/>
              </w:rPr>
              <w:t>Pnömoni</w:t>
            </w:r>
            <w:proofErr w:type="spellEnd"/>
            <w:r w:rsidRPr="00517CD0">
              <w:rPr>
                <w:lang w:val="tr-TR"/>
              </w:rPr>
              <w:t xml:space="preserve">, </w:t>
            </w:r>
            <w:proofErr w:type="spellStart"/>
            <w:r w:rsidRPr="00517CD0">
              <w:rPr>
                <w:lang w:val="tr-TR"/>
              </w:rPr>
              <w:t>influenza</w:t>
            </w:r>
            <w:proofErr w:type="spellEnd"/>
            <w:r w:rsidRPr="00517CD0">
              <w:rPr>
                <w:lang w:val="tr-TR"/>
              </w:rPr>
              <w:t xml:space="preserve">, </w:t>
            </w:r>
            <w:proofErr w:type="spellStart"/>
            <w:r w:rsidRPr="00517CD0">
              <w:rPr>
                <w:lang w:val="tr-TR"/>
              </w:rPr>
              <w:t>sepsis</w:t>
            </w:r>
            <w:proofErr w:type="spellEnd"/>
            <w:r w:rsidRPr="00517CD0">
              <w:rPr>
                <w:lang w:val="tr-TR"/>
              </w:rPr>
              <w:t xml:space="preserve">, enfeksiyon, </w:t>
            </w:r>
            <w:proofErr w:type="spellStart"/>
            <w:r w:rsidRPr="00517CD0">
              <w:rPr>
                <w:lang w:val="tr-TR"/>
              </w:rPr>
              <w:t>faranjit</w:t>
            </w:r>
            <w:proofErr w:type="spellEnd"/>
            <w:r w:rsidRPr="00517CD0">
              <w:rPr>
                <w:lang w:val="tr-TR"/>
              </w:rPr>
              <w:t xml:space="preserve">, </w:t>
            </w:r>
            <w:proofErr w:type="spellStart"/>
            <w:r w:rsidRPr="00517CD0">
              <w:rPr>
                <w:lang w:val="tr-TR"/>
              </w:rPr>
              <w:t>vajinal</w:t>
            </w:r>
            <w:proofErr w:type="spellEnd"/>
            <w:r w:rsidRPr="00517CD0">
              <w:rPr>
                <w:lang w:val="tr-TR"/>
              </w:rPr>
              <w:t xml:space="preserve"> enfeksiyon</w:t>
            </w:r>
          </w:p>
        </w:tc>
      </w:tr>
      <w:tr w:rsidR="00AE6C5D" w:rsidRPr="00517CD0" w:rsidTr="00D71382">
        <w:tc>
          <w:tcPr>
            <w:tcW w:w="0" w:type="auto"/>
          </w:tcPr>
          <w:p w:rsidR="00AE6C5D" w:rsidRPr="00517CD0" w:rsidRDefault="00AE6C5D" w:rsidP="00D71382">
            <w:pPr>
              <w:widowControl w:val="0"/>
              <w:autoSpaceDE w:val="0"/>
              <w:autoSpaceDN w:val="0"/>
              <w:adjustRightInd w:val="0"/>
              <w:ind w:right="48"/>
              <w:rPr>
                <w:lang w:val="tr-TR"/>
              </w:rPr>
            </w:pPr>
            <w:r w:rsidRPr="00517CD0">
              <w:rPr>
                <w:lang w:val="tr-TR"/>
              </w:rPr>
              <w:t>İyi huylu ve kötü huylu neoplazmalar (kist ve polipler dahil)</w:t>
            </w:r>
          </w:p>
        </w:tc>
        <w:tc>
          <w:tcPr>
            <w:tcW w:w="0" w:type="auto"/>
          </w:tcPr>
          <w:p w:rsidR="00AE6C5D" w:rsidRPr="00517CD0" w:rsidRDefault="00AE6C5D" w:rsidP="00D71382">
            <w:pPr>
              <w:widowControl w:val="0"/>
              <w:autoSpaceDE w:val="0"/>
              <w:autoSpaceDN w:val="0"/>
              <w:adjustRightInd w:val="0"/>
              <w:ind w:right="48"/>
              <w:rPr>
                <w:lang w:val="tr-TR"/>
              </w:rPr>
            </w:pPr>
            <w:r w:rsidRPr="00517CD0">
              <w:rPr>
                <w:lang w:val="tr-TR"/>
              </w:rPr>
              <w:t>Yaygın olmayan</w:t>
            </w:r>
          </w:p>
        </w:tc>
        <w:tc>
          <w:tcPr>
            <w:tcW w:w="5146" w:type="dxa"/>
          </w:tcPr>
          <w:p w:rsidR="00AE6C5D" w:rsidRPr="00517CD0" w:rsidRDefault="00AE6C5D" w:rsidP="00D71382">
            <w:pPr>
              <w:widowControl w:val="0"/>
              <w:autoSpaceDE w:val="0"/>
              <w:autoSpaceDN w:val="0"/>
              <w:adjustRightInd w:val="0"/>
              <w:ind w:right="48"/>
              <w:jc w:val="both"/>
              <w:rPr>
                <w:lang w:val="tr-TR"/>
              </w:rPr>
            </w:pPr>
            <w:r w:rsidRPr="00517CD0">
              <w:rPr>
                <w:lang w:val="tr-TR"/>
              </w:rPr>
              <w:t>Meme kanseri</w:t>
            </w:r>
          </w:p>
        </w:tc>
      </w:tr>
      <w:tr w:rsidR="0050621D" w:rsidRPr="00517CD0" w:rsidTr="00D71382">
        <w:tc>
          <w:tcPr>
            <w:tcW w:w="0" w:type="auto"/>
          </w:tcPr>
          <w:p w:rsidR="0050621D" w:rsidRPr="00517CD0" w:rsidRDefault="0050621D" w:rsidP="00D71382">
            <w:pPr>
              <w:widowControl w:val="0"/>
              <w:autoSpaceDE w:val="0"/>
              <w:autoSpaceDN w:val="0"/>
              <w:adjustRightInd w:val="0"/>
              <w:ind w:right="48"/>
              <w:rPr>
                <w:lang w:val="tr-TR"/>
              </w:rPr>
            </w:pPr>
            <w:r w:rsidRPr="00517CD0">
              <w:rPr>
                <w:lang w:val="tr-TR"/>
              </w:rPr>
              <w:t>Kan ve lenf sistemi hastalıkları</w:t>
            </w:r>
          </w:p>
        </w:tc>
        <w:tc>
          <w:tcPr>
            <w:tcW w:w="0" w:type="auto"/>
          </w:tcPr>
          <w:p w:rsidR="0050621D" w:rsidRPr="00517CD0" w:rsidRDefault="0050621D" w:rsidP="00D71382">
            <w:pPr>
              <w:widowControl w:val="0"/>
              <w:autoSpaceDE w:val="0"/>
              <w:autoSpaceDN w:val="0"/>
              <w:adjustRightInd w:val="0"/>
              <w:ind w:right="48"/>
              <w:rPr>
                <w:lang w:val="tr-TR"/>
              </w:rPr>
            </w:pPr>
            <w:r w:rsidRPr="00517CD0">
              <w:rPr>
                <w:lang w:val="tr-TR"/>
              </w:rPr>
              <w:t>Yaygın olmayan</w:t>
            </w:r>
          </w:p>
        </w:tc>
        <w:tc>
          <w:tcPr>
            <w:tcW w:w="5146" w:type="dxa"/>
          </w:tcPr>
          <w:p w:rsidR="0050621D" w:rsidRPr="00517CD0" w:rsidRDefault="00F37703" w:rsidP="00AE6C5D">
            <w:pPr>
              <w:widowControl w:val="0"/>
              <w:autoSpaceDE w:val="0"/>
              <w:autoSpaceDN w:val="0"/>
              <w:adjustRightInd w:val="0"/>
              <w:ind w:right="48"/>
              <w:jc w:val="both"/>
              <w:rPr>
                <w:lang w:val="tr-TR"/>
              </w:rPr>
            </w:pPr>
            <w:r w:rsidRPr="00517CD0">
              <w:rPr>
                <w:lang w:val="tr-TR"/>
              </w:rPr>
              <w:t xml:space="preserve">Anemi,  lökopeni,  </w:t>
            </w:r>
            <w:proofErr w:type="spellStart"/>
            <w:r w:rsidRPr="00517CD0">
              <w:rPr>
                <w:lang w:val="tr-TR"/>
              </w:rPr>
              <w:t>lenf</w:t>
            </w:r>
            <w:r w:rsidR="0050621D" w:rsidRPr="00517CD0">
              <w:rPr>
                <w:lang w:val="tr-TR"/>
              </w:rPr>
              <w:t>adenopati</w:t>
            </w:r>
            <w:proofErr w:type="spellEnd"/>
          </w:p>
        </w:tc>
      </w:tr>
      <w:tr w:rsidR="0050621D" w:rsidRPr="00517CD0" w:rsidTr="00D71382">
        <w:tc>
          <w:tcPr>
            <w:tcW w:w="0" w:type="auto"/>
            <w:vMerge w:val="restart"/>
          </w:tcPr>
          <w:p w:rsidR="0050621D" w:rsidRPr="00517CD0" w:rsidRDefault="0050621D" w:rsidP="00D71382">
            <w:pPr>
              <w:widowControl w:val="0"/>
              <w:autoSpaceDE w:val="0"/>
              <w:autoSpaceDN w:val="0"/>
              <w:adjustRightInd w:val="0"/>
              <w:ind w:right="48"/>
              <w:rPr>
                <w:lang w:val="tr-TR"/>
              </w:rPr>
            </w:pPr>
            <w:r w:rsidRPr="00517CD0">
              <w:rPr>
                <w:lang w:val="tr-TR"/>
              </w:rPr>
              <w:t>Bağışıklık sistemi hastalıkları</w:t>
            </w:r>
          </w:p>
        </w:tc>
        <w:tc>
          <w:tcPr>
            <w:tcW w:w="0" w:type="auto"/>
          </w:tcPr>
          <w:p w:rsidR="0050621D" w:rsidRPr="00517CD0" w:rsidRDefault="00AE6C5D" w:rsidP="00D71382">
            <w:pPr>
              <w:widowControl w:val="0"/>
              <w:autoSpaceDE w:val="0"/>
              <w:autoSpaceDN w:val="0"/>
              <w:adjustRightInd w:val="0"/>
              <w:ind w:right="48"/>
              <w:jc w:val="both"/>
              <w:rPr>
                <w:lang w:val="tr-TR"/>
              </w:rPr>
            </w:pPr>
            <w:r w:rsidRPr="00517CD0">
              <w:rPr>
                <w:lang w:val="tr-TR"/>
              </w:rPr>
              <w:t>Yaygın olmayan</w:t>
            </w:r>
          </w:p>
        </w:tc>
        <w:tc>
          <w:tcPr>
            <w:tcW w:w="5146" w:type="dxa"/>
          </w:tcPr>
          <w:p w:rsidR="0050621D" w:rsidRPr="00517CD0" w:rsidRDefault="00AE6C5D" w:rsidP="00D71382">
            <w:pPr>
              <w:widowControl w:val="0"/>
              <w:autoSpaceDE w:val="0"/>
              <w:autoSpaceDN w:val="0"/>
              <w:adjustRightInd w:val="0"/>
              <w:ind w:right="48"/>
              <w:jc w:val="both"/>
              <w:rPr>
                <w:lang w:val="tr-TR"/>
              </w:rPr>
            </w:pPr>
            <w:r w:rsidRPr="00517CD0">
              <w:rPr>
                <w:lang w:val="tr-TR"/>
              </w:rPr>
              <w:t>Aşırı duyarlılık</w:t>
            </w:r>
          </w:p>
        </w:tc>
      </w:tr>
      <w:tr w:rsidR="0050621D" w:rsidRPr="00517CD0" w:rsidTr="00D71382">
        <w:tc>
          <w:tcPr>
            <w:tcW w:w="0" w:type="auto"/>
            <w:vMerge/>
          </w:tcPr>
          <w:p w:rsidR="0050621D" w:rsidRPr="00517CD0" w:rsidRDefault="0050621D" w:rsidP="00D71382">
            <w:pPr>
              <w:widowControl w:val="0"/>
              <w:autoSpaceDE w:val="0"/>
              <w:autoSpaceDN w:val="0"/>
              <w:adjustRightInd w:val="0"/>
              <w:ind w:right="48"/>
              <w:rPr>
                <w:lang w:val="tr-TR"/>
              </w:rPr>
            </w:pPr>
          </w:p>
        </w:tc>
        <w:tc>
          <w:tcPr>
            <w:tcW w:w="0" w:type="auto"/>
          </w:tcPr>
          <w:p w:rsidR="0050621D" w:rsidRPr="00517CD0" w:rsidRDefault="00AE6C5D" w:rsidP="00D71382">
            <w:pPr>
              <w:widowControl w:val="0"/>
              <w:autoSpaceDE w:val="0"/>
              <w:autoSpaceDN w:val="0"/>
              <w:adjustRightInd w:val="0"/>
              <w:ind w:right="48"/>
              <w:jc w:val="both"/>
              <w:rPr>
                <w:lang w:val="tr-TR"/>
              </w:rPr>
            </w:pPr>
            <w:r w:rsidRPr="00517CD0">
              <w:rPr>
                <w:lang w:val="tr-TR"/>
              </w:rPr>
              <w:t>Bilinmiyor</w:t>
            </w:r>
          </w:p>
        </w:tc>
        <w:tc>
          <w:tcPr>
            <w:tcW w:w="5146" w:type="dxa"/>
          </w:tcPr>
          <w:p w:rsidR="0050621D" w:rsidRPr="00517CD0" w:rsidRDefault="00AE6C5D" w:rsidP="00D71382">
            <w:pPr>
              <w:widowControl w:val="0"/>
              <w:autoSpaceDE w:val="0"/>
              <w:autoSpaceDN w:val="0"/>
              <w:adjustRightInd w:val="0"/>
              <w:ind w:right="48"/>
              <w:jc w:val="both"/>
              <w:rPr>
                <w:lang w:val="tr-TR"/>
              </w:rPr>
            </w:pPr>
            <w:proofErr w:type="spellStart"/>
            <w:r w:rsidRPr="00517CD0">
              <w:rPr>
                <w:lang w:val="tr-TR"/>
              </w:rPr>
              <w:t>Larenjal</w:t>
            </w:r>
            <w:proofErr w:type="spellEnd"/>
            <w:r w:rsidRPr="00517CD0">
              <w:rPr>
                <w:lang w:val="tr-TR"/>
              </w:rPr>
              <w:t xml:space="preserve"> ödem, anjiyoödem, ürtiker</w:t>
            </w:r>
          </w:p>
        </w:tc>
      </w:tr>
      <w:tr w:rsidR="00AE6C5D" w:rsidRPr="00517CD0" w:rsidTr="00D71382">
        <w:tc>
          <w:tcPr>
            <w:tcW w:w="0" w:type="auto"/>
            <w:vMerge w:val="restart"/>
          </w:tcPr>
          <w:p w:rsidR="00AE6C5D" w:rsidRPr="00517CD0" w:rsidRDefault="00AE6C5D" w:rsidP="00D71382">
            <w:pPr>
              <w:widowControl w:val="0"/>
              <w:autoSpaceDE w:val="0"/>
              <w:autoSpaceDN w:val="0"/>
              <w:adjustRightInd w:val="0"/>
              <w:ind w:right="48"/>
              <w:rPr>
                <w:lang w:val="tr-TR"/>
              </w:rPr>
            </w:pPr>
            <w:r w:rsidRPr="00517CD0">
              <w:rPr>
                <w:lang w:val="tr-TR"/>
              </w:rPr>
              <w:t>Endokrin hastalıkları</w:t>
            </w:r>
          </w:p>
        </w:tc>
        <w:tc>
          <w:tcPr>
            <w:tcW w:w="0" w:type="auto"/>
          </w:tcPr>
          <w:p w:rsidR="00AE6C5D" w:rsidRPr="00517CD0" w:rsidRDefault="00AE6C5D" w:rsidP="00D71382">
            <w:pPr>
              <w:widowControl w:val="0"/>
              <w:autoSpaceDE w:val="0"/>
              <w:autoSpaceDN w:val="0"/>
              <w:adjustRightInd w:val="0"/>
              <w:ind w:right="48"/>
              <w:rPr>
                <w:lang w:val="tr-TR"/>
              </w:rPr>
            </w:pPr>
            <w:r w:rsidRPr="00517CD0">
              <w:rPr>
                <w:lang w:val="tr-TR"/>
              </w:rPr>
              <w:t>Yaygın</w:t>
            </w:r>
          </w:p>
        </w:tc>
        <w:tc>
          <w:tcPr>
            <w:tcW w:w="5146" w:type="dxa"/>
          </w:tcPr>
          <w:p w:rsidR="00AE6C5D" w:rsidRPr="00517CD0" w:rsidRDefault="00AE6C5D" w:rsidP="00D71382">
            <w:pPr>
              <w:widowControl w:val="0"/>
              <w:autoSpaceDE w:val="0"/>
              <w:autoSpaceDN w:val="0"/>
              <w:adjustRightInd w:val="0"/>
              <w:ind w:right="48"/>
              <w:jc w:val="both"/>
              <w:rPr>
                <w:lang w:val="tr-TR"/>
              </w:rPr>
            </w:pPr>
            <w:proofErr w:type="spellStart"/>
            <w:r w:rsidRPr="00517CD0">
              <w:rPr>
                <w:lang w:val="tr-TR"/>
              </w:rPr>
              <w:t>Hipoparat</w:t>
            </w:r>
            <w:r w:rsidR="00F37703" w:rsidRPr="00517CD0">
              <w:rPr>
                <w:lang w:val="tr-TR"/>
              </w:rPr>
              <w:t>i</w:t>
            </w:r>
            <w:r w:rsidRPr="00517CD0">
              <w:rPr>
                <w:lang w:val="tr-TR"/>
              </w:rPr>
              <w:t>roidizm</w:t>
            </w:r>
            <w:proofErr w:type="spellEnd"/>
          </w:p>
        </w:tc>
      </w:tr>
      <w:tr w:rsidR="00AE6C5D" w:rsidRPr="00517CD0" w:rsidTr="00D71382">
        <w:tc>
          <w:tcPr>
            <w:tcW w:w="0" w:type="auto"/>
            <w:vMerge/>
          </w:tcPr>
          <w:p w:rsidR="00AE6C5D" w:rsidRPr="00517CD0" w:rsidRDefault="00AE6C5D" w:rsidP="00D71382">
            <w:pPr>
              <w:widowControl w:val="0"/>
              <w:autoSpaceDE w:val="0"/>
              <w:autoSpaceDN w:val="0"/>
              <w:adjustRightInd w:val="0"/>
              <w:ind w:right="48"/>
              <w:rPr>
                <w:lang w:val="tr-TR"/>
              </w:rPr>
            </w:pPr>
          </w:p>
        </w:tc>
        <w:tc>
          <w:tcPr>
            <w:tcW w:w="0" w:type="auto"/>
          </w:tcPr>
          <w:p w:rsidR="00AE6C5D" w:rsidRPr="00517CD0" w:rsidRDefault="00AE6C5D" w:rsidP="00D71382">
            <w:pPr>
              <w:widowControl w:val="0"/>
              <w:autoSpaceDE w:val="0"/>
              <w:autoSpaceDN w:val="0"/>
              <w:adjustRightInd w:val="0"/>
              <w:ind w:right="48"/>
              <w:rPr>
                <w:lang w:val="tr-TR"/>
              </w:rPr>
            </w:pPr>
            <w:r w:rsidRPr="00517CD0">
              <w:rPr>
                <w:lang w:val="tr-TR"/>
              </w:rPr>
              <w:t>Yaygın olmayan</w:t>
            </w:r>
          </w:p>
        </w:tc>
        <w:tc>
          <w:tcPr>
            <w:tcW w:w="5146" w:type="dxa"/>
          </w:tcPr>
          <w:p w:rsidR="00AE6C5D" w:rsidRPr="00517CD0" w:rsidRDefault="00AE6C5D" w:rsidP="00D71382">
            <w:pPr>
              <w:widowControl w:val="0"/>
              <w:autoSpaceDE w:val="0"/>
              <w:autoSpaceDN w:val="0"/>
              <w:adjustRightInd w:val="0"/>
              <w:ind w:right="48"/>
              <w:jc w:val="both"/>
              <w:rPr>
                <w:lang w:val="tr-TR"/>
              </w:rPr>
            </w:pPr>
            <w:proofErr w:type="spellStart"/>
            <w:r w:rsidRPr="00517CD0">
              <w:rPr>
                <w:lang w:val="tr-TR"/>
              </w:rPr>
              <w:t>Hiperparat</w:t>
            </w:r>
            <w:r w:rsidR="00F37703" w:rsidRPr="00517CD0">
              <w:rPr>
                <w:lang w:val="tr-TR"/>
              </w:rPr>
              <w:t>i</w:t>
            </w:r>
            <w:r w:rsidRPr="00517CD0">
              <w:rPr>
                <w:lang w:val="tr-TR"/>
              </w:rPr>
              <w:t>roidizm</w:t>
            </w:r>
            <w:proofErr w:type="spellEnd"/>
          </w:p>
        </w:tc>
      </w:tr>
      <w:tr w:rsidR="0050621D" w:rsidRPr="00517CD0" w:rsidTr="00D71382">
        <w:tc>
          <w:tcPr>
            <w:tcW w:w="0" w:type="auto"/>
            <w:vMerge w:val="restart"/>
          </w:tcPr>
          <w:p w:rsidR="0050621D" w:rsidRPr="00517CD0" w:rsidRDefault="0050621D" w:rsidP="00D71382">
            <w:pPr>
              <w:widowControl w:val="0"/>
              <w:autoSpaceDE w:val="0"/>
              <w:autoSpaceDN w:val="0"/>
              <w:adjustRightInd w:val="0"/>
              <w:ind w:right="48"/>
              <w:rPr>
                <w:lang w:val="tr-TR"/>
              </w:rPr>
            </w:pPr>
            <w:r w:rsidRPr="00517CD0">
              <w:rPr>
                <w:lang w:val="tr-TR"/>
              </w:rPr>
              <w:t>Metabolizma ve beslenme hastalıkları</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lang w:val="tr-TR"/>
              </w:rPr>
              <w:t>Yaygın</w:t>
            </w:r>
          </w:p>
        </w:tc>
        <w:tc>
          <w:tcPr>
            <w:tcW w:w="5146" w:type="dxa"/>
          </w:tcPr>
          <w:p w:rsidR="0050621D" w:rsidRPr="00517CD0" w:rsidRDefault="0050621D" w:rsidP="00D71382">
            <w:pPr>
              <w:widowControl w:val="0"/>
              <w:autoSpaceDE w:val="0"/>
              <w:autoSpaceDN w:val="0"/>
              <w:adjustRightInd w:val="0"/>
              <w:ind w:right="48"/>
              <w:jc w:val="both"/>
              <w:rPr>
                <w:lang w:val="tr-TR"/>
              </w:rPr>
            </w:pPr>
            <w:proofErr w:type="spellStart"/>
            <w:r w:rsidRPr="00517CD0">
              <w:rPr>
                <w:lang w:val="tr-TR"/>
              </w:rPr>
              <w:t>Hiperkalsemi</w:t>
            </w:r>
            <w:proofErr w:type="spellEnd"/>
            <w:r w:rsidRPr="00517CD0">
              <w:rPr>
                <w:lang w:val="tr-TR"/>
              </w:rPr>
              <w:t xml:space="preserve">, </w:t>
            </w:r>
            <w:proofErr w:type="spellStart"/>
            <w:r w:rsidRPr="00517CD0">
              <w:rPr>
                <w:lang w:val="tr-TR"/>
              </w:rPr>
              <w:t>hiperfosfatemi</w:t>
            </w:r>
            <w:proofErr w:type="spellEnd"/>
          </w:p>
        </w:tc>
      </w:tr>
      <w:tr w:rsidR="0050621D" w:rsidRPr="00517CD0" w:rsidTr="00D71382">
        <w:tc>
          <w:tcPr>
            <w:tcW w:w="0" w:type="auto"/>
            <w:vMerge/>
          </w:tcPr>
          <w:p w:rsidR="0050621D" w:rsidRPr="00517CD0" w:rsidRDefault="0050621D" w:rsidP="00D71382">
            <w:pPr>
              <w:widowControl w:val="0"/>
              <w:autoSpaceDE w:val="0"/>
              <w:autoSpaceDN w:val="0"/>
              <w:adjustRightInd w:val="0"/>
              <w:ind w:right="48"/>
              <w:rPr>
                <w:lang w:val="tr-TR"/>
              </w:rPr>
            </w:pP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lang w:val="tr-TR"/>
              </w:rPr>
              <w:t>Yaygın olmayan</w:t>
            </w:r>
          </w:p>
        </w:tc>
        <w:tc>
          <w:tcPr>
            <w:tcW w:w="5146" w:type="dxa"/>
          </w:tcPr>
          <w:p w:rsidR="00AE6C5D" w:rsidRPr="00517CD0" w:rsidRDefault="00AE6C5D" w:rsidP="00D71382">
            <w:pPr>
              <w:widowControl w:val="0"/>
              <w:autoSpaceDE w:val="0"/>
              <w:autoSpaceDN w:val="0"/>
              <w:adjustRightInd w:val="0"/>
              <w:ind w:right="48"/>
              <w:jc w:val="both"/>
              <w:rPr>
                <w:lang w:val="tr-TR"/>
              </w:rPr>
            </w:pPr>
            <w:proofErr w:type="spellStart"/>
            <w:r w:rsidRPr="00517CD0">
              <w:rPr>
                <w:lang w:val="tr-TR"/>
              </w:rPr>
              <w:t>Hipokalsemi</w:t>
            </w:r>
            <w:proofErr w:type="spellEnd"/>
            <w:r w:rsidRPr="00517CD0">
              <w:rPr>
                <w:lang w:val="tr-TR"/>
              </w:rPr>
              <w:t xml:space="preserve">, </w:t>
            </w:r>
            <w:proofErr w:type="spellStart"/>
            <w:r w:rsidRPr="00517CD0">
              <w:rPr>
                <w:lang w:val="tr-TR"/>
              </w:rPr>
              <w:t>hiperkalemi</w:t>
            </w:r>
            <w:proofErr w:type="spellEnd"/>
            <w:r w:rsidRPr="00517CD0">
              <w:rPr>
                <w:lang w:val="tr-TR"/>
              </w:rPr>
              <w:t xml:space="preserve">, </w:t>
            </w:r>
            <w:proofErr w:type="spellStart"/>
            <w:r w:rsidRPr="00517CD0">
              <w:rPr>
                <w:lang w:val="tr-TR"/>
              </w:rPr>
              <w:t>anoreksi</w:t>
            </w:r>
            <w:proofErr w:type="spellEnd"/>
          </w:p>
        </w:tc>
      </w:tr>
      <w:tr w:rsidR="00AE6C5D" w:rsidRPr="00517CD0" w:rsidTr="00D71382">
        <w:tc>
          <w:tcPr>
            <w:tcW w:w="0" w:type="auto"/>
          </w:tcPr>
          <w:p w:rsidR="00AE6C5D" w:rsidRPr="00517CD0" w:rsidRDefault="00AE6C5D" w:rsidP="00AE6C5D">
            <w:pPr>
              <w:widowControl w:val="0"/>
              <w:autoSpaceDE w:val="0"/>
              <w:autoSpaceDN w:val="0"/>
              <w:adjustRightInd w:val="0"/>
              <w:ind w:right="48"/>
              <w:rPr>
                <w:lang w:val="tr-TR"/>
              </w:rPr>
            </w:pPr>
            <w:r w:rsidRPr="00517CD0">
              <w:rPr>
                <w:lang w:val="tr-TR"/>
              </w:rPr>
              <w:t>Psikiyatrik</w:t>
            </w:r>
            <w:r w:rsidR="00CC31B2" w:rsidRPr="00517CD0">
              <w:rPr>
                <w:lang w:val="tr-TR"/>
              </w:rPr>
              <w:t xml:space="preserve"> hastalıkları</w:t>
            </w:r>
            <w:r w:rsidRPr="00517CD0">
              <w:rPr>
                <w:lang w:val="tr-TR"/>
              </w:rPr>
              <w:t xml:space="preserve"> </w:t>
            </w:r>
          </w:p>
        </w:tc>
        <w:tc>
          <w:tcPr>
            <w:tcW w:w="0" w:type="auto"/>
          </w:tcPr>
          <w:p w:rsidR="00AE6C5D" w:rsidRPr="00517CD0" w:rsidRDefault="00CC31B2" w:rsidP="00D71382">
            <w:pPr>
              <w:widowControl w:val="0"/>
              <w:autoSpaceDE w:val="0"/>
              <w:autoSpaceDN w:val="0"/>
              <w:adjustRightInd w:val="0"/>
              <w:ind w:right="48"/>
              <w:jc w:val="both"/>
              <w:rPr>
                <w:lang w:val="tr-TR"/>
              </w:rPr>
            </w:pPr>
            <w:r w:rsidRPr="00517CD0">
              <w:rPr>
                <w:lang w:val="tr-TR"/>
              </w:rPr>
              <w:t>Yaygın olmayan</w:t>
            </w:r>
          </w:p>
        </w:tc>
        <w:tc>
          <w:tcPr>
            <w:tcW w:w="5146" w:type="dxa"/>
          </w:tcPr>
          <w:p w:rsidR="00AE6C5D" w:rsidRPr="00517CD0" w:rsidRDefault="00CC31B2" w:rsidP="00D71382">
            <w:pPr>
              <w:widowControl w:val="0"/>
              <w:autoSpaceDE w:val="0"/>
              <w:autoSpaceDN w:val="0"/>
              <w:adjustRightInd w:val="0"/>
              <w:ind w:right="48"/>
              <w:jc w:val="both"/>
              <w:rPr>
                <w:lang w:val="tr-TR"/>
              </w:rPr>
            </w:pPr>
            <w:proofErr w:type="spellStart"/>
            <w:r w:rsidRPr="00517CD0">
              <w:rPr>
                <w:lang w:val="tr-TR"/>
              </w:rPr>
              <w:t>Deliryum</w:t>
            </w:r>
            <w:proofErr w:type="spellEnd"/>
            <w:r w:rsidRPr="00517CD0">
              <w:rPr>
                <w:lang w:val="tr-TR"/>
              </w:rPr>
              <w:t xml:space="preserve">, </w:t>
            </w:r>
            <w:proofErr w:type="spellStart"/>
            <w:r w:rsidRPr="00517CD0">
              <w:rPr>
                <w:lang w:val="tr-TR"/>
              </w:rPr>
              <w:t>konfüzyon</w:t>
            </w:r>
            <w:proofErr w:type="spellEnd"/>
            <w:r w:rsidRPr="00517CD0">
              <w:rPr>
                <w:lang w:val="tr-TR"/>
              </w:rPr>
              <w:t xml:space="preserve">, ajitasyon, </w:t>
            </w:r>
            <w:proofErr w:type="spellStart"/>
            <w:r w:rsidRPr="00517CD0">
              <w:rPr>
                <w:lang w:val="tr-TR"/>
              </w:rPr>
              <w:t>insomni</w:t>
            </w:r>
            <w:proofErr w:type="spellEnd"/>
            <w:r w:rsidRPr="00517CD0">
              <w:rPr>
                <w:lang w:val="tr-TR"/>
              </w:rPr>
              <w:t xml:space="preserve">, sinirlilik, </w:t>
            </w:r>
            <w:proofErr w:type="spellStart"/>
            <w:r w:rsidRPr="00517CD0">
              <w:rPr>
                <w:lang w:val="tr-TR"/>
              </w:rPr>
              <w:t>depersonalizasyon</w:t>
            </w:r>
            <w:proofErr w:type="spellEnd"/>
          </w:p>
        </w:tc>
      </w:tr>
      <w:tr w:rsidR="0050621D" w:rsidRPr="00517CD0" w:rsidTr="00D71382">
        <w:tc>
          <w:tcPr>
            <w:tcW w:w="0" w:type="auto"/>
            <w:vMerge w:val="restart"/>
          </w:tcPr>
          <w:p w:rsidR="0050621D" w:rsidRPr="00517CD0" w:rsidRDefault="0050621D" w:rsidP="00D71382">
            <w:pPr>
              <w:widowControl w:val="0"/>
              <w:autoSpaceDE w:val="0"/>
              <w:autoSpaceDN w:val="0"/>
              <w:adjustRightInd w:val="0"/>
              <w:ind w:right="48"/>
              <w:rPr>
                <w:lang w:val="tr-TR"/>
              </w:rPr>
            </w:pPr>
            <w:r w:rsidRPr="00517CD0">
              <w:rPr>
                <w:lang w:val="tr-TR"/>
              </w:rPr>
              <w:t>Sinir sistemi hastalıkları</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lang w:val="tr-TR"/>
              </w:rPr>
              <w:t>Yaygın</w:t>
            </w:r>
          </w:p>
        </w:tc>
        <w:tc>
          <w:tcPr>
            <w:tcW w:w="5146" w:type="dxa"/>
          </w:tcPr>
          <w:p w:rsidR="0050621D" w:rsidRPr="00517CD0" w:rsidRDefault="00CC31B2" w:rsidP="00D71382">
            <w:pPr>
              <w:widowControl w:val="0"/>
              <w:autoSpaceDE w:val="0"/>
              <w:autoSpaceDN w:val="0"/>
              <w:adjustRightInd w:val="0"/>
              <w:ind w:right="48"/>
              <w:jc w:val="both"/>
              <w:rPr>
                <w:lang w:val="tr-TR"/>
              </w:rPr>
            </w:pPr>
            <w:proofErr w:type="spellStart"/>
            <w:r w:rsidRPr="00517CD0">
              <w:rPr>
                <w:lang w:val="tr-TR"/>
              </w:rPr>
              <w:t>Disgözi</w:t>
            </w:r>
            <w:proofErr w:type="spellEnd"/>
            <w:r w:rsidRPr="00517CD0">
              <w:rPr>
                <w:lang w:val="tr-TR"/>
              </w:rPr>
              <w:t>, baş ağrısı</w:t>
            </w:r>
          </w:p>
        </w:tc>
      </w:tr>
      <w:tr w:rsidR="0050621D" w:rsidRPr="00517CD0" w:rsidTr="00D71382">
        <w:tc>
          <w:tcPr>
            <w:tcW w:w="0" w:type="auto"/>
            <w:vMerge/>
          </w:tcPr>
          <w:p w:rsidR="0050621D" w:rsidRPr="00517CD0" w:rsidRDefault="0050621D" w:rsidP="00D71382">
            <w:pPr>
              <w:widowControl w:val="0"/>
              <w:autoSpaceDE w:val="0"/>
              <w:autoSpaceDN w:val="0"/>
              <w:adjustRightInd w:val="0"/>
              <w:ind w:right="48"/>
              <w:rPr>
                <w:lang w:val="tr-TR"/>
              </w:rPr>
            </w:pP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lang w:val="tr-TR"/>
              </w:rPr>
              <w:t>Yaygın olmayan</w:t>
            </w:r>
          </w:p>
        </w:tc>
        <w:tc>
          <w:tcPr>
            <w:tcW w:w="5146" w:type="dxa"/>
          </w:tcPr>
          <w:p w:rsidR="0050621D" w:rsidRPr="00517CD0" w:rsidRDefault="00CC31B2" w:rsidP="00D71382">
            <w:pPr>
              <w:widowControl w:val="0"/>
              <w:autoSpaceDE w:val="0"/>
              <w:autoSpaceDN w:val="0"/>
              <w:adjustRightInd w:val="0"/>
              <w:ind w:right="48"/>
              <w:jc w:val="both"/>
              <w:rPr>
                <w:lang w:val="tr-TR"/>
              </w:rPr>
            </w:pPr>
            <w:r w:rsidRPr="00517CD0">
              <w:rPr>
                <w:lang w:val="tr-TR"/>
              </w:rPr>
              <w:t xml:space="preserve">Koma, </w:t>
            </w:r>
            <w:proofErr w:type="spellStart"/>
            <w:r w:rsidRPr="00517CD0">
              <w:rPr>
                <w:lang w:val="tr-TR"/>
              </w:rPr>
              <w:t>serebrovasküler</w:t>
            </w:r>
            <w:proofErr w:type="spellEnd"/>
            <w:r w:rsidRPr="00517CD0">
              <w:rPr>
                <w:lang w:val="tr-TR"/>
              </w:rPr>
              <w:t xml:space="preserve"> kaza, geçici </w:t>
            </w:r>
            <w:proofErr w:type="spellStart"/>
            <w:r w:rsidRPr="00517CD0">
              <w:rPr>
                <w:lang w:val="tr-TR"/>
              </w:rPr>
              <w:t>iskemik</w:t>
            </w:r>
            <w:proofErr w:type="spellEnd"/>
            <w:r w:rsidRPr="00517CD0">
              <w:rPr>
                <w:lang w:val="tr-TR"/>
              </w:rPr>
              <w:t xml:space="preserve"> atak, </w:t>
            </w:r>
            <w:proofErr w:type="spellStart"/>
            <w:r w:rsidRPr="00517CD0">
              <w:rPr>
                <w:lang w:val="tr-TR"/>
              </w:rPr>
              <w:t>senkop</w:t>
            </w:r>
            <w:proofErr w:type="spellEnd"/>
            <w:r w:rsidRPr="00517CD0">
              <w:rPr>
                <w:lang w:val="tr-TR"/>
              </w:rPr>
              <w:t xml:space="preserve">, </w:t>
            </w:r>
            <w:proofErr w:type="spellStart"/>
            <w:r w:rsidRPr="00517CD0">
              <w:rPr>
                <w:lang w:val="tr-TR"/>
              </w:rPr>
              <w:t>myoklonus</w:t>
            </w:r>
            <w:proofErr w:type="spellEnd"/>
            <w:r w:rsidRPr="00517CD0">
              <w:rPr>
                <w:lang w:val="tr-TR"/>
              </w:rPr>
              <w:t xml:space="preserve">, sersemlik hissi, </w:t>
            </w:r>
            <w:proofErr w:type="spellStart"/>
            <w:r w:rsidRPr="00517CD0">
              <w:rPr>
                <w:lang w:val="tr-TR"/>
              </w:rPr>
              <w:t>hipoestezi</w:t>
            </w:r>
            <w:proofErr w:type="spellEnd"/>
            <w:r w:rsidRPr="00517CD0">
              <w:rPr>
                <w:lang w:val="tr-TR"/>
              </w:rPr>
              <w:t xml:space="preserve">, </w:t>
            </w:r>
            <w:proofErr w:type="spellStart"/>
            <w:r w:rsidRPr="00517CD0">
              <w:rPr>
                <w:lang w:val="tr-TR"/>
              </w:rPr>
              <w:t>parestezi</w:t>
            </w:r>
            <w:proofErr w:type="spellEnd"/>
          </w:p>
        </w:tc>
      </w:tr>
      <w:tr w:rsidR="00CC31B2" w:rsidRPr="00517CD0" w:rsidTr="00D71382">
        <w:tc>
          <w:tcPr>
            <w:tcW w:w="0" w:type="auto"/>
          </w:tcPr>
          <w:p w:rsidR="00CC31B2" w:rsidRPr="00517CD0" w:rsidRDefault="00CC31B2" w:rsidP="00D71382">
            <w:pPr>
              <w:widowControl w:val="0"/>
              <w:autoSpaceDE w:val="0"/>
              <w:autoSpaceDN w:val="0"/>
              <w:adjustRightInd w:val="0"/>
              <w:ind w:right="48"/>
              <w:rPr>
                <w:lang w:val="tr-TR"/>
              </w:rPr>
            </w:pPr>
            <w:r w:rsidRPr="00517CD0">
              <w:rPr>
                <w:lang w:val="tr-TR"/>
              </w:rPr>
              <w:t>Göz hastalıkları</w:t>
            </w:r>
          </w:p>
        </w:tc>
        <w:tc>
          <w:tcPr>
            <w:tcW w:w="0" w:type="auto"/>
          </w:tcPr>
          <w:p w:rsidR="00CC31B2" w:rsidRPr="00517CD0" w:rsidRDefault="00CC31B2" w:rsidP="00D71382">
            <w:pPr>
              <w:widowControl w:val="0"/>
              <w:autoSpaceDE w:val="0"/>
              <w:autoSpaceDN w:val="0"/>
              <w:adjustRightInd w:val="0"/>
              <w:ind w:right="48"/>
              <w:rPr>
                <w:lang w:val="tr-TR"/>
              </w:rPr>
            </w:pPr>
            <w:r w:rsidRPr="00517CD0">
              <w:rPr>
                <w:lang w:val="tr-TR"/>
              </w:rPr>
              <w:t>Yaygın olmayan</w:t>
            </w:r>
          </w:p>
        </w:tc>
        <w:tc>
          <w:tcPr>
            <w:tcW w:w="5146" w:type="dxa"/>
          </w:tcPr>
          <w:p w:rsidR="00CC31B2" w:rsidRPr="00517CD0" w:rsidRDefault="00CC31B2" w:rsidP="00D71382">
            <w:pPr>
              <w:widowControl w:val="0"/>
              <w:autoSpaceDE w:val="0"/>
              <w:autoSpaceDN w:val="0"/>
              <w:adjustRightInd w:val="0"/>
              <w:ind w:right="48"/>
              <w:jc w:val="both"/>
              <w:rPr>
                <w:lang w:val="tr-TR"/>
              </w:rPr>
            </w:pPr>
            <w:proofErr w:type="spellStart"/>
            <w:r w:rsidRPr="00517CD0">
              <w:rPr>
                <w:lang w:val="tr-TR"/>
              </w:rPr>
              <w:t>Konjonktivit</w:t>
            </w:r>
            <w:proofErr w:type="spellEnd"/>
            <w:r w:rsidRPr="00517CD0">
              <w:rPr>
                <w:lang w:val="tr-TR"/>
              </w:rPr>
              <w:t>, glokom</w:t>
            </w:r>
          </w:p>
        </w:tc>
      </w:tr>
      <w:tr w:rsidR="00CC31B2" w:rsidRPr="00517CD0" w:rsidTr="00D71382">
        <w:tc>
          <w:tcPr>
            <w:tcW w:w="0" w:type="auto"/>
          </w:tcPr>
          <w:p w:rsidR="00CC31B2" w:rsidRPr="00517CD0" w:rsidRDefault="00CC31B2" w:rsidP="00D71382">
            <w:pPr>
              <w:widowControl w:val="0"/>
              <w:autoSpaceDE w:val="0"/>
              <w:autoSpaceDN w:val="0"/>
              <w:adjustRightInd w:val="0"/>
              <w:ind w:right="48"/>
              <w:rPr>
                <w:lang w:val="tr-TR"/>
              </w:rPr>
            </w:pPr>
            <w:r w:rsidRPr="00517CD0">
              <w:rPr>
                <w:lang w:val="tr-TR"/>
              </w:rPr>
              <w:t>Kulak ve iç kulak hastalıkları</w:t>
            </w:r>
          </w:p>
        </w:tc>
        <w:tc>
          <w:tcPr>
            <w:tcW w:w="0" w:type="auto"/>
          </w:tcPr>
          <w:p w:rsidR="00CC31B2" w:rsidRPr="00517CD0" w:rsidRDefault="00CC31B2" w:rsidP="00D71382">
            <w:pPr>
              <w:widowControl w:val="0"/>
              <w:autoSpaceDE w:val="0"/>
              <w:autoSpaceDN w:val="0"/>
              <w:adjustRightInd w:val="0"/>
              <w:ind w:right="48"/>
              <w:rPr>
                <w:lang w:val="tr-TR"/>
              </w:rPr>
            </w:pPr>
            <w:r w:rsidRPr="00517CD0">
              <w:rPr>
                <w:lang w:val="tr-TR"/>
              </w:rPr>
              <w:t>Yaygın olmayan</w:t>
            </w:r>
          </w:p>
        </w:tc>
        <w:tc>
          <w:tcPr>
            <w:tcW w:w="5146" w:type="dxa"/>
          </w:tcPr>
          <w:p w:rsidR="00CC31B2" w:rsidRPr="00517CD0" w:rsidRDefault="00CC31B2" w:rsidP="00D71382">
            <w:pPr>
              <w:widowControl w:val="0"/>
              <w:autoSpaceDE w:val="0"/>
              <w:autoSpaceDN w:val="0"/>
              <w:adjustRightInd w:val="0"/>
              <w:ind w:right="48"/>
              <w:jc w:val="both"/>
              <w:rPr>
                <w:lang w:val="tr-TR"/>
              </w:rPr>
            </w:pPr>
            <w:r w:rsidRPr="00517CD0">
              <w:rPr>
                <w:lang w:val="tr-TR"/>
              </w:rPr>
              <w:t>Kulak hastalıkları</w:t>
            </w:r>
          </w:p>
        </w:tc>
      </w:tr>
      <w:tr w:rsidR="0050621D" w:rsidRPr="00517CD0" w:rsidTr="00D71382">
        <w:tc>
          <w:tcPr>
            <w:tcW w:w="0" w:type="auto"/>
          </w:tcPr>
          <w:p w:rsidR="0050621D" w:rsidRPr="00517CD0" w:rsidRDefault="0050621D" w:rsidP="00CC31B2">
            <w:pPr>
              <w:widowControl w:val="0"/>
              <w:autoSpaceDE w:val="0"/>
              <w:autoSpaceDN w:val="0"/>
              <w:adjustRightInd w:val="0"/>
              <w:ind w:right="48"/>
              <w:rPr>
                <w:lang w:val="tr-TR"/>
              </w:rPr>
            </w:pPr>
            <w:r w:rsidRPr="00517CD0">
              <w:rPr>
                <w:lang w:val="tr-TR"/>
              </w:rPr>
              <w:t>Kardiy</w:t>
            </w:r>
            <w:r w:rsidR="00CC31B2" w:rsidRPr="00517CD0">
              <w:rPr>
                <w:lang w:val="tr-TR"/>
              </w:rPr>
              <w:t xml:space="preserve">ak </w:t>
            </w:r>
            <w:r w:rsidRPr="00517CD0">
              <w:rPr>
                <w:lang w:val="tr-TR"/>
              </w:rPr>
              <w:t>hastalıkları</w:t>
            </w:r>
          </w:p>
        </w:tc>
        <w:tc>
          <w:tcPr>
            <w:tcW w:w="0" w:type="auto"/>
          </w:tcPr>
          <w:p w:rsidR="0050621D" w:rsidRPr="00517CD0" w:rsidRDefault="00CC31B2" w:rsidP="00D71382">
            <w:pPr>
              <w:widowControl w:val="0"/>
              <w:autoSpaceDE w:val="0"/>
              <w:autoSpaceDN w:val="0"/>
              <w:adjustRightInd w:val="0"/>
              <w:ind w:right="48"/>
              <w:rPr>
                <w:lang w:val="tr-TR"/>
              </w:rPr>
            </w:pPr>
            <w:r w:rsidRPr="00517CD0">
              <w:rPr>
                <w:lang w:val="tr-TR"/>
              </w:rPr>
              <w:t>Yaygın olmayan</w:t>
            </w:r>
          </w:p>
        </w:tc>
        <w:tc>
          <w:tcPr>
            <w:tcW w:w="5146" w:type="dxa"/>
          </w:tcPr>
          <w:p w:rsidR="0050621D" w:rsidRPr="00517CD0" w:rsidRDefault="00CC31B2" w:rsidP="00CC31B2">
            <w:pPr>
              <w:widowControl w:val="0"/>
              <w:autoSpaceDE w:val="0"/>
              <w:autoSpaceDN w:val="0"/>
              <w:adjustRightInd w:val="0"/>
              <w:ind w:right="48"/>
              <w:jc w:val="both"/>
              <w:rPr>
                <w:lang w:val="tr-TR"/>
              </w:rPr>
            </w:pPr>
            <w:r w:rsidRPr="00517CD0">
              <w:rPr>
                <w:lang w:val="tr-TR"/>
              </w:rPr>
              <w:t xml:space="preserve">Kalp durması, </w:t>
            </w:r>
            <w:proofErr w:type="spellStart"/>
            <w:r w:rsidRPr="00517CD0">
              <w:rPr>
                <w:lang w:val="tr-TR"/>
              </w:rPr>
              <w:t>atriyal</w:t>
            </w:r>
            <w:proofErr w:type="spellEnd"/>
            <w:r w:rsidRPr="00517CD0">
              <w:rPr>
                <w:lang w:val="tr-TR"/>
              </w:rPr>
              <w:t xml:space="preserve"> </w:t>
            </w:r>
            <w:proofErr w:type="spellStart"/>
            <w:r w:rsidRPr="00517CD0">
              <w:rPr>
                <w:lang w:val="tr-TR"/>
              </w:rPr>
              <w:t>flatter</w:t>
            </w:r>
            <w:proofErr w:type="spellEnd"/>
            <w:r w:rsidRPr="00517CD0">
              <w:rPr>
                <w:lang w:val="tr-TR"/>
              </w:rPr>
              <w:t>, aritmi</w:t>
            </w:r>
          </w:p>
        </w:tc>
      </w:tr>
      <w:tr w:rsidR="00CC31B2" w:rsidRPr="00517CD0" w:rsidTr="00D71382">
        <w:tc>
          <w:tcPr>
            <w:tcW w:w="0" w:type="auto"/>
          </w:tcPr>
          <w:p w:rsidR="00CC31B2" w:rsidRPr="00517CD0" w:rsidRDefault="00CC31B2" w:rsidP="00D71382">
            <w:pPr>
              <w:widowControl w:val="0"/>
              <w:autoSpaceDE w:val="0"/>
              <w:autoSpaceDN w:val="0"/>
              <w:adjustRightInd w:val="0"/>
              <w:ind w:right="48"/>
              <w:rPr>
                <w:lang w:val="tr-TR"/>
              </w:rPr>
            </w:pPr>
            <w:proofErr w:type="spellStart"/>
            <w:r w:rsidRPr="00517CD0">
              <w:rPr>
                <w:lang w:val="tr-TR"/>
              </w:rPr>
              <w:t>Vasküler</w:t>
            </w:r>
            <w:proofErr w:type="spellEnd"/>
            <w:r w:rsidRPr="00517CD0">
              <w:rPr>
                <w:lang w:val="tr-TR"/>
              </w:rPr>
              <w:t xml:space="preserve"> hastalıkları</w:t>
            </w:r>
          </w:p>
        </w:tc>
        <w:tc>
          <w:tcPr>
            <w:tcW w:w="0" w:type="auto"/>
          </w:tcPr>
          <w:p w:rsidR="00CC31B2" w:rsidRPr="00517CD0" w:rsidRDefault="00CC31B2" w:rsidP="00D71382">
            <w:pPr>
              <w:widowControl w:val="0"/>
              <w:autoSpaceDE w:val="0"/>
              <w:autoSpaceDN w:val="0"/>
              <w:adjustRightInd w:val="0"/>
              <w:ind w:right="48"/>
              <w:jc w:val="both"/>
              <w:rPr>
                <w:lang w:val="tr-TR"/>
              </w:rPr>
            </w:pPr>
            <w:r w:rsidRPr="00517CD0">
              <w:rPr>
                <w:lang w:val="tr-TR"/>
              </w:rPr>
              <w:t>Yaygın olmayan</w:t>
            </w:r>
          </w:p>
        </w:tc>
        <w:tc>
          <w:tcPr>
            <w:tcW w:w="5146" w:type="dxa"/>
          </w:tcPr>
          <w:p w:rsidR="00CC31B2" w:rsidRPr="00517CD0" w:rsidRDefault="00CC31B2" w:rsidP="00D71382">
            <w:pPr>
              <w:widowControl w:val="0"/>
              <w:autoSpaceDE w:val="0"/>
              <w:autoSpaceDN w:val="0"/>
              <w:adjustRightInd w:val="0"/>
              <w:ind w:right="48"/>
              <w:jc w:val="both"/>
              <w:rPr>
                <w:lang w:val="tr-TR"/>
              </w:rPr>
            </w:pPr>
            <w:r w:rsidRPr="00517CD0">
              <w:rPr>
                <w:lang w:val="tr-TR"/>
              </w:rPr>
              <w:t>Hipotansiyon, hipertansiyon</w:t>
            </w:r>
          </w:p>
        </w:tc>
      </w:tr>
      <w:tr w:rsidR="0050621D" w:rsidRPr="00517CD0" w:rsidTr="00D71382">
        <w:tc>
          <w:tcPr>
            <w:tcW w:w="0" w:type="auto"/>
          </w:tcPr>
          <w:p w:rsidR="0050621D" w:rsidRPr="00517CD0" w:rsidRDefault="0050621D" w:rsidP="00D71382">
            <w:pPr>
              <w:widowControl w:val="0"/>
              <w:autoSpaceDE w:val="0"/>
              <w:autoSpaceDN w:val="0"/>
              <w:adjustRightInd w:val="0"/>
              <w:ind w:right="48"/>
              <w:rPr>
                <w:lang w:val="tr-TR"/>
              </w:rPr>
            </w:pPr>
            <w:r w:rsidRPr="00517CD0">
              <w:rPr>
                <w:lang w:val="tr-TR"/>
              </w:rPr>
              <w:t xml:space="preserve">Solunum, göğüs bozuklukları ve </w:t>
            </w:r>
            <w:proofErr w:type="spellStart"/>
            <w:r w:rsidRPr="00517CD0">
              <w:rPr>
                <w:lang w:val="tr-TR"/>
              </w:rPr>
              <w:t>mediastinal</w:t>
            </w:r>
            <w:proofErr w:type="spellEnd"/>
            <w:r w:rsidRPr="00517CD0">
              <w:rPr>
                <w:lang w:val="tr-TR"/>
              </w:rPr>
              <w:t xml:space="preserve"> hastalıkları  </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lang w:val="tr-TR"/>
              </w:rPr>
              <w:t>Yaygın olmayan</w:t>
            </w:r>
          </w:p>
        </w:tc>
        <w:tc>
          <w:tcPr>
            <w:tcW w:w="5146" w:type="dxa"/>
          </w:tcPr>
          <w:p w:rsidR="0050621D" w:rsidRPr="00517CD0" w:rsidRDefault="00CC31B2" w:rsidP="00CC31B2">
            <w:pPr>
              <w:widowControl w:val="0"/>
              <w:autoSpaceDE w:val="0"/>
              <w:autoSpaceDN w:val="0"/>
              <w:adjustRightInd w:val="0"/>
              <w:ind w:right="48"/>
              <w:jc w:val="both"/>
              <w:rPr>
                <w:lang w:val="tr-TR"/>
              </w:rPr>
            </w:pPr>
            <w:proofErr w:type="spellStart"/>
            <w:r w:rsidRPr="00517CD0">
              <w:rPr>
                <w:lang w:val="tr-TR"/>
              </w:rPr>
              <w:t>Pulmoner</w:t>
            </w:r>
            <w:proofErr w:type="spellEnd"/>
            <w:r w:rsidRPr="00517CD0">
              <w:rPr>
                <w:lang w:val="tr-TR"/>
              </w:rPr>
              <w:t xml:space="preserve"> ödem, a</w:t>
            </w:r>
            <w:r w:rsidR="0050621D" w:rsidRPr="00517CD0">
              <w:rPr>
                <w:lang w:val="tr-TR"/>
              </w:rPr>
              <w:t xml:space="preserve">stım, </w:t>
            </w:r>
            <w:proofErr w:type="spellStart"/>
            <w:r w:rsidR="0050621D" w:rsidRPr="00517CD0">
              <w:rPr>
                <w:lang w:val="tr-TR"/>
              </w:rPr>
              <w:t>dispne</w:t>
            </w:r>
            <w:proofErr w:type="spellEnd"/>
            <w:r w:rsidR="0050621D" w:rsidRPr="00517CD0">
              <w:rPr>
                <w:lang w:val="tr-TR"/>
              </w:rPr>
              <w:t xml:space="preserve">, burun kanaması, </w:t>
            </w:r>
            <w:r w:rsidRPr="00517CD0">
              <w:rPr>
                <w:lang w:val="tr-TR"/>
              </w:rPr>
              <w:t>öksürük</w:t>
            </w:r>
          </w:p>
        </w:tc>
      </w:tr>
      <w:tr w:rsidR="0050621D" w:rsidRPr="00517CD0" w:rsidTr="00D71382">
        <w:tc>
          <w:tcPr>
            <w:tcW w:w="0" w:type="auto"/>
            <w:vMerge w:val="restart"/>
          </w:tcPr>
          <w:p w:rsidR="0050621D" w:rsidRPr="00517CD0" w:rsidRDefault="0050621D" w:rsidP="00D71382">
            <w:pPr>
              <w:widowControl w:val="0"/>
              <w:autoSpaceDE w:val="0"/>
              <w:autoSpaceDN w:val="0"/>
              <w:adjustRightInd w:val="0"/>
              <w:ind w:right="48"/>
              <w:rPr>
                <w:lang w:val="tr-TR"/>
              </w:rPr>
            </w:pPr>
            <w:proofErr w:type="spellStart"/>
            <w:r w:rsidRPr="00517CD0">
              <w:rPr>
                <w:lang w:val="tr-TR"/>
              </w:rPr>
              <w:t>Gastrointestinal</w:t>
            </w:r>
            <w:proofErr w:type="spellEnd"/>
            <w:r w:rsidRPr="00517CD0">
              <w:rPr>
                <w:lang w:val="tr-TR"/>
              </w:rPr>
              <w:t xml:space="preserve"> hastalıkları</w:t>
            </w:r>
          </w:p>
        </w:tc>
        <w:tc>
          <w:tcPr>
            <w:tcW w:w="0" w:type="auto"/>
          </w:tcPr>
          <w:p w:rsidR="0050621D" w:rsidRPr="00517CD0" w:rsidRDefault="00CC31B2" w:rsidP="00D71382">
            <w:pPr>
              <w:widowControl w:val="0"/>
              <w:autoSpaceDE w:val="0"/>
              <w:autoSpaceDN w:val="0"/>
              <w:adjustRightInd w:val="0"/>
              <w:ind w:right="48"/>
              <w:jc w:val="both"/>
              <w:rPr>
                <w:lang w:val="tr-TR"/>
              </w:rPr>
            </w:pPr>
            <w:r w:rsidRPr="00517CD0">
              <w:rPr>
                <w:lang w:val="tr-TR"/>
              </w:rPr>
              <w:t>Yaygın olmayan</w:t>
            </w:r>
          </w:p>
        </w:tc>
        <w:tc>
          <w:tcPr>
            <w:tcW w:w="5146" w:type="dxa"/>
          </w:tcPr>
          <w:p w:rsidR="0050621D" w:rsidRPr="00517CD0" w:rsidRDefault="00CC31B2" w:rsidP="00D71382">
            <w:pPr>
              <w:widowControl w:val="0"/>
              <w:autoSpaceDE w:val="0"/>
              <w:autoSpaceDN w:val="0"/>
              <w:adjustRightInd w:val="0"/>
              <w:ind w:right="48"/>
              <w:jc w:val="both"/>
              <w:rPr>
                <w:lang w:val="tr-TR"/>
              </w:rPr>
            </w:pPr>
            <w:proofErr w:type="spellStart"/>
            <w:r w:rsidRPr="00517CD0">
              <w:rPr>
                <w:lang w:val="tr-TR"/>
              </w:rPr>
              <w:t>Rektal</w:t>
            </w:r>
            <w:proofErr w:type="spellEnd"/>
            <w:r w:rsidRPr="00517CD0">
              <w:rPr>
                <w:lang w:val="tr-TR"/>
              </w:rPr>
              <w:t xml:space="preserve"> kanama, kolit, </w:t>
            </w:r>
            <w:proofErr w:type="spellStart"/>
            <w:r w:rsidRPr="00517CD0">
              <w:rPr>
                <w:lang w:val="tr-TR"/>
              </w:rPr>
              <w:t>diyare</w:t>
            </w:r>
            <w:proofErr w:type="spellEnd"/>
            <w:r w:rsidRPr="00517CD0">
              <w:rPr>
                <w:lang w:val="tr-TR"/>
              </w:rPr>
              <w:t xml:space="preserve">, gastrit, </w:t>
            </w:r>
            <w:proofErr w:type="spellStart"/>
            <w:r w:rsidRPr="00517CD0">
              <w:rPr>
                <w:lang w:val="tr-TR"/>
              </w:rPr>
              <w:t>dispepsi</w:t>
            </w:r>
            <w:proofErr w:type="spellEnd"/>
            <w:r w:rsidRPr="00517CD0">
              <w:rPr>
                <w:lang w:val="tr-TR"/>
              </w:rPr>
              <w:t xml:space="preserve">, </w:t>
            </w:r>
            <w:proofErr w:type="spellStart"/>
            <w:r w:rsidRPr="00517CD0">
              <w:rPr>
                <w:lang w:val="tr-TR"/>
              </w:rPr>
              <w:t>disfaji</w:t>
            </w:r>
            <w:proofErr w:type="spellEnd"/>
            <w:r w:rsidRPr="00517CD0">
              <w:rPr>
                <w:lang w:val="tr-TR"/>
              </w:rPr>
              <w:t xml:space="preserve">, </w:t>
            </w:r>
            <w:proofErr w:type="spellStart"/>
            <w:r w:rsidRPr="00517CD0">
              <w:rPr>
                <w:lang w:val="tr-TR"/>
              </w:rPr>
              <w:t>konstipasyon</w:t>
            </w:r>
            <w:proofErr w:type="spellEnd"/>
            <w:r w:rsidRPr="00517CD0">
              <w:rPr>
                <w:lang w:val="tr-TR"/>
              </w:rPr>
              <w:t>, bulantı, kusma,</w:t>
            </w:r>
            <w:r w:rsidR="00E05C87" w:rsidRPr="00517CD0">
              <w:rPr>
                <w:lang w:val="tr-TR"/>
              </w:rPr>
              <w:t xml:space="preserve"> </w:t>
            </w:r>
            <w:proofErr w:type="spellStart"/>
            <w:r w:rsidR="00E05C87" w:rsidRPr="00517CD0">
              <w:rPr>
                <w:lang w:val="tr-TR"/>
              </w:rPr>
              <w:t>abdominal</w:t>
            </w:r>
            <w:proofErr w:type="spellEnd"/>
            <w:r w:rsidR="00E05C87" w:rsidRPr="00517CD0">
              <w:rPr>
                <w:lang w:val="tr-TR"/>
              </w:rPr>
              <w:t xml:space="preserve"> rahatsızlık, ağız kuruluğu, </w:t>
            </w:r>
            <w:proofErr w:type="spellStart"/>
            <w:r w:rsidR="00E05C87" w:rsidRPr="00517CD0">
              <w:rPr>
                <w:lang w:val="tr-TR"/>
              </w:rPr>
              <w:t>gastrointestinal</w:t>
            </w:r>
            <w:proofErr w:type="spellEnd"/>
            <w:r w:rsidR="00E05C87" w:rsidRPr="00517CD0">
              <w:rPr>
                <w:lang w:val="tr-TR"/>
              </w:rPr>
              <w:t xml:space="preserve"> bozukluk</w:t>
            </w:r>
          </w:p>
        </w:tc>
      </w:tr>
      <w:tr w:rsidR="0050621D" w:rsidRPr="00517CD0" w:rsidTr="00D71382">
        <w:tc>
          <w:tcPr>
            <w:tcW w:w="0" w:type="auto"/>
            <w:vMerge/>
          </w:tcPr>
          <w:p w:rsidR="0050621D" w:rsidRPr="00517CD0" w:rsidRDefault="0050621D" w:rsidP="00D71382">
            <w:pPr>
              <w:widowControl w:val="0"/>
              <w:autoSpaceDE w:val="0"/>
              <w:autoSpaceDN w:val="0"/>
              <w:adjustRightInd w:val="0"/>
              <w:ind w:right="48"/>
              <w:rPr>
                <w:lang w:val="tr-TR"/>
              </w:rPr>
            </w:pPr>
          </w:p>
        </w:tc>
        <w:tc>
          <w:tcPr>
            <w:tcW w:w="0" w:type="auto"/>
          </w:tcPr>
          <w:p w:rsidR="0050621D" w:rsidRPr="00517CD0" w:rsidRDefault="00E05C87" w:rsidP="00D71382">
            <w:pPr>
              <w:widowControl w:val="0"/>
              <w:autoSpaceDE w:val="0"/>
              <w:autoSpaceDN w:val="0"/>
              <w:adjustRightInd w:val="0"/>
              <w:ind w:right="48"/>
              <w:jc w:val="both"/>
              <w:rPr>
                <w:lang w:val="tr-TR"/>
              </w:rPr>
            </w:pPr>
            <w:r w:rsidRPr="00517CD0">
              <w:rPr>
                <w:lang w:val="tr-TR"/>
              </w:rPr>
              <w:t>Bilinmiyor</w:t>
            </w:r>
          </w:p>
        </w:tc>
        <w:tc>
          <w:tcPr>
            <w:tcW w:w="5146" w:type="dxa"/>
          </w:tcPr>
          <w:p w:rsidR="0050621D" w:rsidRPr="00517CD0" w:rsidRDefault="00E05C87" w:rsidP="00E05C87">
            <w:pPr>
              <w:widowControl w:val="0"/>
              <w:autoSpaceDE w:val="0"/>
              <w:autoSpaceDN w:val="0"/>
              <w:adjustRightInd w:val="0"/>
              <w:ind w:right="48"/>
              <w:jc w:val="both"/>
              <w:rPr>
                <w:lang w:val="tr-TR"/>
              </w:rPr>
            </w:pPr>
            <w:proofErr w:type="spellStart"/>
            <w:r w:rsidRPr="00517CD0">
              <w:rPr>
                <w:lang w:val="tr-TR"/>
              </w:rPr>
              <w:t>Gastrointestinal</w:t>
            </w:r>
            <w:proofErr w:type="spellEnd"/>
            <w:r w:rsidRPr="00517CD0">
              <w:rPr>
                <w:lang w:val="tr-TR"/>
              </w:rPr>
              <w:t xml:space="preserve"> kanama</w:t>
            </w:r>
          </w:p>
        </w:tc>
      </w:tr>
      <w:tr w:rsidR="00E05C87" w:rsidRPr="00517CD0" w:rsidTr="00E05C87">
        <w:trPr>
          <w:trHeight w:val="310"/>
        </w:trPr>
        <w:tc>
          <w:tcPr>
            <w:tcW w:w="0" w:type="auto"/>
            <w:vMerge w:val="restart"/>
          </w:tcPr>
          <w:p w:rsidR="00E05C87" w:rsidRPr="00517CD0" w:rsidRDefault="00E05C87" w:rsidP="00D71382">
            <w:pPr>
              <w:widowControl w:val="0"/>
              <w:autoSpaceDE w:val="0"/>
              <w:autoSpaceDN w:val="0"/>
              <w:adjustRightInd w:val="0"/>
              <w:ind w:right="48"/>
              <w:rPr>
                <w:lang w:val="tr-TR"/>
              </w:rPr>
            </w:pPr>
            <w:r w:rsidRPr="00517CD0">
              <w:rPr>
                <w:lang w:val="tr-TR"/>
              </w:rPr>
              <w:t xml:space="preserve">Deri ve deri altı doku hastalıkları </w:t>
            </w:r>
          </w:p>
        </w:tc>
        <w:tc>
          <w:tcPr>
            <w:tcW w:w="0" w:type="auto"/>
          </w:tcPr>
          <w:p w:rsidR="00E05C87" w:rsidRPr="00517CD0" w:rsidRDefault="00E05C87" w:rsidP="00E05C87">
            <w:pPr>
              <w:widowControl w:val="0"/>
              <w:autoSpaceDE w:val="0"/>
              <w:autoSpaceDN w:val="0"/>
              <w:adjustRightInd w:val="0"/>
              <w:ind w:right="48"/>
              <w:jc w:val="both"/>
              <w:rPr>
                <w:lang w:val="tr-TR"/>
              </w:rPr>
            </w:pPr>
            <w:r w:rsidRPr="00517CD0">
              <w:rPr>
                <w:lang w:val="tr-TR"/>
              </w:rPr>
              <w:t xml:space="preserve">Yaygın </w:t>
            </w:r>
          </w:p>
        </w:tc>
        <w:tc>
          <w:tcPr>
            <w:tcW w:w="5146" w:type="dxa"/>
          </w:tcPr>
          <w:p w:rsidR="00E05C87" w:rsidRPr="00517CD0" w:rsidRDefault="00E05C87" w:rsidP="00D71382">
            <w:pPr>
              <w:widowControl w:val="0"/>
              <w:autoSpaceDE w:val="0"/>
              <w:autoSpaceDN w:val="0"/>
              <w:adjustRightInd w:val="0"/>
              <w:ind w:right="48"/>
              <w:jc w:val="both"/>
              <w:rPr>
                <w:lang w:val="tr-TR"/>
              </w:rPr>
            </w:pPr>
            <w:proofErr w:type="spellStart"/>
            <w:r w:rsidRPr="00517CD0">
              <w:rPr>
                <w:lang w:val="tr-TR"/>
              </w:rPr>
              <w:t>Pruritus</w:t>
            </w:r>
            <w:proofErr w:type="spellEnd"/>
          </w:p>
        </w:tc>
      </w:tr>
      <w:tr w:rsidR="00E05C87" w:rsidRPr="00517CD0" w:rsidTr="00D71382">
        <w:trPr>
          <w:trHeight w:val="310"/>
        </w:trPr>
        <w:tc>
          <w:tcPr>
            <w:tcW w:w="0" w:type="auto"/>
            <w:vMerge/>
          </w:tcPr>
          <w:p w:rsidR="00E05C87" w:rsidRPr="00517CD0" w:rsidRDefault="00E05C87" w:rsidP="00D71382">
            <w:pPr>
              <w:widowControl w:val="0"/>
              <w:autoSpaceDE w:val="0"/>
              <w:autoSpaceDN w:val="0"/>
              <w:adjustRightInd w:val="0"/>
              <w:ind w:right="48"/>
              <w:rPr>
                <w:lang w:val="tr-TR"/>
              </w:rPr>
            </w:pPr>
          </w:p>
        </w:tc>
        <w:tc>
          <w:tcPr>
            <w:tcW w:w="0" w:type="auto"/>
          </w:tcPr>
          <w:p w:rsidR="00E05C87" w:rsidRPr="00517CD0" w:rsidRDefault="00E05C87" w:rsidP="00D71382">
            <w:pPr>
              <w:widowControl w:val="0"/>
              <w:autoSpaceDE w:val="0"/>
              <w:autoSpaceDN w:val="0"/>
              <w:adjustRightInd w:val="0"/>
              <w:ind w:right="48"/>
              <w:jc w:val="both"/>
              <w:rPr>
                <w:lang w:val="tr-TR"/>
              </w:rPr>
            </w:pPr>
            <w:r w:rsidRPr="00517CD0">
              <w:rPr>
                <w:lang w:val="tr-TR"/>
              </w:rPr>
              <w:t>Yaygın olmayan</w:t>
            </w:r>
          </w:p>
        </w:tc>
        <w:tc>
          <w:tcPr>
            <w:tcW w:w="5146" w:type="dxa"/>
          </w:tcPr>
          <w:p w:rsidR="00E05C87" w:rsidRPr="00517CD0" w:rsidRDefault="00E05C87" w:rsidP="00D71382">
            <w:pPr>
              <w:widowControl w:val="0"/>
              <w:autoSpaceDE w:val="0"/>
              <w:autoSpaceDN w:val="0"/>
              <w:adjustRightInd w:val="0"/>
              <w:ind w:right="48"/>
              <w:jc w:val="both"/>
              <w:rPr>
                <w:lang w:val="tr-TR"/>
              </w:rPr>
            </w:pPr>
            <w:proofErr w:type="spellStart"/>
            <w:r w:rsidRPr="00517CD0">
              <w:rPr>
                <w:lang w:val="tr-TR"/>
              </w:rPr>
              <w:t>Bülöz</w:t>
            </w:r>
            <w:proofErr w:type="spellEnd"/>
            <w:r w:rsidRPr="00517CD0">
              <w:rPr>
                <w:lang w:val="tr-TR"/>
              </w:rPr>
              <w:t xml:space="preserve"> dermatit, </w:t>
            </w:r>
            <w:proofErr w:type="spellStart"/>
            <w:r w:rsidRPr="00517CD0">
              <w:rPr>
                <w:lang w:val="tr-TR"/>
              </w:rPr>
              <w:t>alopesi</w:t>
            </w:r>
            <w:proofErr w:type="spellEnd"/>
            <w:r w:rsidRPr="00517CD0">
              <w:rPr>
                <w:lang w:val="tr-TR"/>
              </w:rPr>
              <w:t xml:space="preserve">, </w:t>
            </w:r>
            <w:proofErr w:type="spellStart"/>
            <w:r w:rsidRPr="00517CD0">
              <w:rPr>
                <w:lang w:val="tr-TR"/>
              </w:rPr>
              <w:t>hirsutizm</w:t>
            </w:r>
            <w:proofErr w:type="spellEnd"/>
            <w:r w:rsidRPr="00517CD0">
              <w:rPr>
                <w:lang w:val="tr-TR"/>
              </w:rPr>
              <w:t xml:space="preserve">, döküntü, </w:t>
            </w:r>
            <w:proofErr w:type="spellStart"/>
            <w:r w:rsidRPr="00517CD0">
              <w:rPr>
                <w:lang w:val="tr-TR"/>
              </w:rPr>
              <w:t>hiperhidroz</w:t>
            </w:r>
            <w:proofErr w:type="spellEnd"/>
          </w:p>
        </w:tc>
      </w:tr>
      <w:tr w:rsidR="0050621D" w:rsidRPr="00517CD0" w:rsidTr="00D71382">
        <w:tc>
          <w:tcPr>
            <w:tcW w:w="0" w:type="auto"/>
          </w:tcPr>
          <w:p w:rsidR="0050621D" w:rsidRPr="00517CD0" w:rsidRDefault="0050621D" w:rsidP="00D71382">
            <w:pPr>
              <w:widowControl w:val="0"/>
              <w:autoSpaceDE w:val="0"/>
              <w:autoSpaceDN w:val="0"/>
              <w:adjustRightInd w:val="0"/>
              <w:ind w:right="48"/>
              <w:rPr>
                <w:lang w:val="tr-TR"/>
              </w:rPr>
            </w:pPr>
            <w:r w:rsidRPr="00517CD0">
              <w:rPr>
                <w:lang w:val="tr-TR"/>
              </w:rPr>
              <w:t>Kas-iskelet bozukluklar</w:t>
            </w:r>
            <w:r w:rsidR="00E05C87" w:rsidRPr="00517CD0">
              <w:rPr>
                <w:lang w:val="tr-TR"/>
              </w:rPr>
              <w:t>ı</w:t>
            </w:r>
            <w:r w:rsidRPr="00517CD0">
              <w:rPr>
                <w:lang w:val="tr-TR"/>
              </w:rPr>
              <w:t xml:space="preserve">, bağ </w:t>
            </w:r>
            <w:r w:rsidR="00E05C87" w:rsidRPr="00517CD0">
              <w:rPr>
                <w:lang w:val="tr-TR"/>
              </w:rPr>
              <w:t>doku ve</w:t>
            </w:r>
            <w:r w:rsidRPr="00517CD0">
              <w:rPr>
                <w:lang w:val="tr-TR"/>
              </w:rPr>
              <w:t xml:space="preserve"> kemik hastalıkları </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lang w:val="tr-TR"/>
              </w:rPr>
              <w:t>Yaygın olmayan</w:t>
            </w:r>
          </w:p>
        </w:tc>
        <w:tc>
          <w:tcPr>
            <w:tcW w:w="5146" w:type="dxa"/>
          </w:tcPr>
          <w:p w:rsidR="0050621D" w:rsidRPr="00517CD0" w:rsidRDefault="0050621D" w:rsidP="00E05C87">
            <w:pPr>
              <w:widowControl w:val="0"/>
              <w:autoSpaceDE w:val="0"/>
              <w:autoSpaceDN w:val="0"/>
              <w:adjustRightInd w:val="0"/>
              <w:ind w:right="48"/>
              <w:jc w:val="both"/>
              <w:rPr>
                <w:lang w:val="tr-TR"/>
              </w:rPr>
            </w:pPr>
            <w:proofErr w:type="spellStart"/>
            <w:r w:rsidRPr="00517CD0">
              <w:rPr>
                <w:lang w:val="tr-TR"/>
              </w:rPr>
              <w:t>Artralji</w:t>
            </w:r>
            <w:proofErr w:type="spellEnd"/>
            <w:r w:rsidRPr="00517CD0">
              <w:rPr>
                <w:lang w:val="tr-TR"/>
              </w:rPr>
              <w:t xml:space="preserve">, </w:t>
            </w:r>
            <w:r w:rsidR="00E05C87" w:rsidRPr="00517CD0">
              <w:rPr>
                <w:lang w:val="tr-TR"/>
              </w:rPr>
              <w:t xml:space="preserve">eklem sertliği, sırt ağrısı, kas çekilmesi, </w:t>
            </w:r>
            <w:proofErr w:type="spellStart"/>
            <w:r w:rsidRPr="00517CD0">
              <w:rPr>
                <w:lang w:val="tr-TR"/>
              </w:rPr>
              <w:t>miyalji</w:t>
            </w:r>
            <w:proofErr w:type="spellEnd"/>
          </w:p>
        </w:tc>
      </w:tr>
      <w:tr w:rsidR="0050621D" w:rsidRPr="00517CD0" w:rsidTr="00D71382">
        <w:tc>
          <w:tcPr>
            <w:tcW w:w="0" w:type="auto"/>
          </w:tcPr>
          <w:p w:rsidR="0050621D" w:rsidRPr="00517CD0" w:rsidRDefault="0050621D" w:rsidP="00E05C87">
            <w:pPr>
              <w:widowControl w:val="0"/>
              <w:autoSpaceDE w:val="0"/>
              <w:autoSpaceDN w:val="0"/>
              <w:adjustRightInd w:val="0"/>
              <w:ind w:right="48"/>
              <w:rPr>
                <w:lang w:val="tr-TR"/>
              </w:rPr>
            </w:pPr>
            <w:r w:rsidRPr="00517CD0">
              <w:rPr>
                <w:lang w:val="tr-TR"/>
              </w:rPr>
              <w:t>Ür</w:t>
            </w:r>
            <w:r w:rsidR="00E05C87" w:rsidRPr="00517CD0">
              <w:rPr>
                <w:lang w:val="tr-TR"/>
              </w:rPr>
              <w:t>eme sistemi ve meme hastalıkları</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lang w:val="tr-TR"/>
              </w:rPr>
              <w:t>Yaygın olmayan</w:t>
            </w:r>
          </w:p>
        </w:tc>
        <w:tc>
          <w:tcPr>
            <w:tcW w:w="5146" w:type="dxa"/>
          </w:tcPr>
          <w:p w:rsidR="00E05C87" w:rsidRPr="00517CD0" w:rsidRDefault="00E05C87" w:rsidP="00E05C87">
            <w:pPr>
              <w:widowControl w:val="0"/>
              <w:autoSpaceDE w:val="0"/>
              <w:autoSpaceDN w:val="0"/>
              <w:adjustRightInd w:val="0"/>
              <w:ind w:right="48"/>
              <w:jc w:val="both"/>
              <w:rPr>
                <w:lang w:val="tr-TR"/>
              </w:rPr>
            </w:pPr>
            <w:proofErr w:type="spellStart"/>
            <w:r w:rsidRPr="00517CD0">
              <w:rPr>
                <w:lang w:val="tr-TR"/>
              </w:rPr>
              <w:t>Erektil</w:t>
            </w:r>
            <w:proofErr w:type="spellEnd"/>
            <w:r w:rsidRPr="00517CD0">
              <w:rPr>
                <w:lang w:val="tr-TR"/>
              </w:rPr>
              <w:t xml:space="preserve"> </w:t>
            </w:r>
            <w:proofErr w:type="spellStart"/>
            <w:r w:rsidRPr="00517CD0">
              <w:rPr>
                <w:lang w:val="tr-TR"/>
              </w:rPr>
              <w:t>disfonksiyon</w:t>
            </w:r>
            <w:proofErr w:type="spellEnd"/>
            <w:r w:rsidR="0050621D" w:rsidRPr="00517CD0">
              <w:rPr>
                <w:lang w:val="tr-TR"/>
              </w:rPr>
              <w:t>, meme ağrısı</w:t>
            </w:r>
          </w:p>
          <w:p w:rsidR="0050621D" w:rsidRPr="00517CD0" w:rsidRDefault="0050621D" w:rsidP="00D71382">
            <w:pPr>
              <w:widowControl w:val="0"/>
              <w:autoSpaceDE w:val="0"/>
              <w:autoSpaceDN w:val="0"/>
              <w:adjustRightInd w:val="0"/>
              <w:ind w:right="48"/>
              <w:jc w:val="both"/>
              <w:rPr>
                <w:lang w:val="tr-TR"/>
              </w:rPr>
            </w:pPr>
          </w:p>
        </w:tc>
      </w:tr>
      <w:tr w:rsidR="00E05C87" w:rsidRPr="00517CD0" w:rsidTr="00E05C87">
        <w:trPr>
          <w:trHeight w:val="1114"/>
        </w:trPr>
        <w:tc>
          <w:tcPr>
            <w:tcW w:w="0" w:type="auto"/>
          </w:tcPr>
          <w:p w:rsidR="00E05C87" w:rsidRPr="00517CD0" w:rsidRDefault="00E05C87" w:rsidP="00D71382">
            <w:pPr>
              <w:widowControl w:val="0"/>
              <w:autoSpaceDE w:val="0"/>
              <w:autoSpaceDN w:val="0"/>
              <w:adjustRightInd w:val="0"/>
              <w:ind w:right="48"/>
              <w:rPr>
                <w:lang w:val="tr-TR"/>
              </w:rPr>
            </w:pPr>
            <w:r w:rsidRPr="00517CD0">
              <w:rPr>
                <w:lang w:val="tr-TR"/>
              </w:rPr>
              <w:lastRenderedPageBreak/>
              <w:t>Genel bozukluklar ve uygulama bölgesine ilişkin hastalıklar</w:t>
            </w:r>
          </w:p>
        </w:tc>
        <w:tc>
          <w:tcPr>
            <w:tcW w:w="0" w:type="auto"/>
          </w:tcPr>
          <w:p w:rsidR="00E05C87" w:rsidRPr="00517CD0" w:rsidRDefault="00E05C87" w:rsidP="00D71382">
            <w:pPr>
              <w:widowControl w:val="0"/>
              <w:autoSpaceDE w:val="0"/>
              <w:autoSpaceDN w:val="0"/>
              <w:adjustRightInd w:val="0"/>
              <w:ind w:right="48"/>
              <w:jc w:val="both"/>
              <w:rPr>
                <w:lang w:val="tr-TR"/>
              </w:rPr>
            </w:pPr>
            <w:r w:rsidRPr="00517CD0">
              <w:rPr>
                <w:lang w:val="tr-TR"/>
              </w:rPr>
              <w:t>Yaygın olmayan</w:t>
            </w:r>
          </w:p>
        </w:tc>
        <w:tc>
          <w:tcPr>
            <w:tcW w:w="5146" w:type="dxa"/>
          </w:tcPr>
          <w:p w:rsidR="00E05C87" w:rsidRPr="00517CD0" w:rsidRDefault="00E05C87" w:rsidP="00E05C87">
            <w:pPr>
              <w:widowControl w:val="0"/>
              <w:autoSpaceDE w:val="0"/>
              <w:autoSpaceDN w:val="0"/>
              <w:adjustRightInd w:val="0"/>
              <w:ind w:right="48"/>
              <w:jc w:val="both"/>
              <w:rPr>
                <w:lang w:val="tr-TR"/>
              </w:rPr>
            </w:pPr>
            <w:r w:rsidRPr="00517CD0">
              <w:rPr>
                <w:lang w:val="tr-TR"/>
              </w:rPr>
              <w:t xml:space="preserve">Yürüme güçlüğü, ödem, </w:t>
            </w:r>
            <w:proofErr w:type="spellStart"/>
            <w:r w:rsidRPr="00517CD0">
              <w:rPr>
                <w:lang w:val="tr-TR"/>
              </w:rPr>
              <w:t>periferal</w:t>
            </w:r>
            <w:proofErr w:type="spellEnd"/>
            <w:r w:rsidRPr="00517CD0">
              <w:rPr>
                <w:lang w:val="tr-TR"/>
              </w:rPr>
              <w:t xml:space="preserve"> ödem, ağrı, enjeksiyon bölgesinde ağrı, ateş, göğüs ağrısı, </w:t>
            </w:r>
            <w:proofErr w:type="spellStart"/>
            <w:r w:rsidRPr="00517CD0">
              <w:rPr>
                <w:lang w:val="tr-TR"/>
              </w:rPr>
              <w:t>asteni</w:t>
            </w:r>
            <w:proofErr w:type="spellEnd"/>
            <w:r w:rsidRPr="00517CD0">
              <w:rPr>
                <w:lang w:val="tr-TR"/>
              </w:rPr>
              <w:t>, halsizlik, ağırlaşan durum, susuzluk</w:t>
            </w:r>
          </w:p>
          <w:p w:rsidR="00E05C87" w:rsidRPr="00517CD0" w:rsidRDefault="00E05C87" w:rsidP="00E05C87">
            <w:pPr>
              <w:widowControl w:val="0"/>
              <w:autoSpaceDE w:val="0"/>
              <w:autoSpaceDN w:val="0"/>
              <w:adjustRightInd w:val="0"/>
              <w:ind w:right="48"/>
              <w:jc w:val="both"/>
              <w:rPr>
                <w:lang w:val="tr-TR"/>
              </w:rPr>
            </w:pPr>
          </w:p>
        </w:tc>
      </w:tr>
      <w:tr w:rsidR="00E05C87" w:rsidRPr="00517CD0" w:rsidTr="00E05C87">
        <w:trPr>
          <w:trHeight w:val="1114"/>
        </w:trPr>
        <w:tc>
          <w:tcPr>
            <w:tcW w:w="0" w:type="auto"/>
          </w:tcPr>
          <w:p w:rsidR="00E05C87" w:rsidRPr="00517CD0" w:rsidRDefault="00E05C87" w:rsidP="00D71382">
            <w:pPr>
              <w:widowControl w:val="0"/>
              <w:autoSpaceDE w:val="0"/>
              <w:autoSpaceDN w:val="0"/>
              <w:adjustRightInd w:val="0"/>
              <w:ind w:right="48"/>
              <w:rPr>
                <w:lang w:val="tr-TR"/>
              </w:rPr>
            </w:pPr>
            <w:r w:rsidRPr="00517CD0">
              <w:rPr>
                <w:lang w:val="tr-TR"/>
              </w:rPr>
              <w:t>Araştırmalar</w:t>
            </w:r>
          </w:p>
        </w:tc>
        <w:tc>
          <w:tcPr>
            <w:tcW w:w="0" w:type="auto"/>
          </w:tcPr>
          <w:p w:rsidR="00E05C87" w:rsidRPr="00517CD0" w:rsidRDefault="00E05C87" w:rsidP="00D71382">
            <w:pPr>
              <w:widowControl w:val="0"/>
              <w:autoSpaceDE w:val="0"/>
              <w:autoSpaceDN w:val="0"/>
              <w:adjustRightInd w:val="0"/>
              <w:ind w:right="48"/>
              <w:jc w:val="both"/>
              <w:rPr>
                <w:lang w:val="tr-TR"/>
              </w:rPr>
            </w:pPr>
            <w:r w:rsidRPr="00517CD0">
              <w:rPr>
                <w:lang w:val="tr-TR"/>
              </w:rPr>
              <w:t>Yaygın olmayan</w:t>
            </w:r>
          </w:p>
        </w:tc>
        <w:tc>
          <w:tcPr>
            <w:tcW w:w="5146" w:type="dxa"/>
          </w:tcPr>
          <w:p w:rsidR="00E05C87" w:rsidRPr="00517CD0" w:rsidRDefault="00E05C87" w:rsidP="00E05C87">
            <w:pPr>
              <w:widowControl w:val="0"/>
              <w:autoSpaceDE w:val="0"/>
              <w:autoSpaceDN w:val="0"/>
              <w:adjustRightInd w:val="0"/>
              <w:ind w:right="48"/>
              <w:jc w:val="both"/>
              <w:rPr>
                <w:lang w:val="tr-TR"/>
              </w:rPr>
            </w:pPr>
            <w:r w:rsidRPr="00517CD0">
              <w:rPr>
                <w:lang w:val="tr-TR"/>
              </w:rPr>
              <w:t xml:space="preserve">Uzamış kanama süresi, artmış </w:t>
            </w:r>
            <w:proofErr w:type="spellStart"/>
            <w:r w:rsidRPr="00517CD0">
              <w:rPr>
                <w:lang w:val="tr-TR"/>
              </w:rPr>
              <w:t>aspartat</w:t>
            </w:r>
            <w:proofErr w:type="spellEnd"/>
            <w:r w:rsidRPr="00517CD0">
              <w:rPr>
                <w:lang w:val="tr-TR"/>
              </w:rPr>
              <w:t xml:space="preserve"> </w:t>
            </w:r>
            <w:proofErr w:type="spellStart"/>
            <w:r w:rsidRPr="00517CD0">
              <w:rPr>
                <w:lang w:val="tr-TR"/>
              </w:rPr>
              <w:t>aminotransferaz</w:t>
            </w:r>
            <w:proofErr w:type="spellEnd"/>
            <w:r w:rsidRPr="00517CD0">
              <w:rPr>
                <w:lang w:val="tr-TR"/>
              </w:rPr>
              <w:t>, anormal laboratuar testleri, kiloda azalma</w:t>
            </w:r>
          </w:p>
        </w:tc>
      </w:tr>
    </w:tbl>
    <w:p w:rsidR="0050621D" w:rsidRPr="00517CD0" w:rsidRDefault="0050621D" w:rsidP="0050621D">
      <w:pPr>
        <w:widowControl w:val="0"/>
        <w:autoSpaceDE w:val="0"/>
        <w:autoSpaceDN w:val="0"/>
        <w:adjustRightInd w:val="0"/>
        <w:ind w:right="48"/>
        <w:jc w:val="both"/>
        <w:rPr>
          <w:u w:val="single"/>
          <w:lang w:val="tr-TR"/>
        </w:rPr>
      </w:pPr>
    </w:p>
    <w:p w:rsidR="00E05C87" w:rsidRPr="00517CD0" w:rsidRDefault="00E05C87" w:rsidP="00E05C87">
      <w:pPr>
        <w:ind w:right="72"/>
        <w:jc w:val="both"/>
        <w:rPr>
          <w:u w:val="single"/>
          <w:lang w:val="tr-TR"/>
        </w:rPr>
      </w:pPr>
      <w:r w:rsidRPr="00517CD0">
        <w:rPr>
          <w:u w:val="single"/>
          <w:lang w:val="tr-TR"/>
        </w:rPr>
        <w:t>Şüpheli advers reaksiyonların raporlanması</w:t>
      </w:r>
    </w:p>
    <w:p w:rsidR="00E05C87" w:rsidRPr="00517CD0" w:rsidRDefault="00E05C87" w:rsidP="00E05C87">
      <w:pPr>
        <w:ind w:right="72"/>
        <w:jc w:val="both"/>
        <w:rPr>
          <w:lang w:val="tr-TR"/>
        </w:rPr>
      </w:pPr>
      <w:r w:rsidRPr="00517CD0">
        <w:rPr>
          <w:lang w:val="tr-TR"/>
        </w:rPr>
        <w:t>Ruhsatlandırma sonrası şüpheli ilaç advers reaksiyonlarının raporlanması büyük önem taşımaktadır. Raporlama yapılması, ilacın yarar/risk dengesinin sürekli olarak izlenmesine olanak sağlar. Sağlık mesleği mensuplarının herhangi bir şüpheli advers reaksiyonu Türkiye Farmakovijilans Merkezi (TÜFAM)’ne bildirmeleri gerekmektedir (</w:t>
      </w:r>
      <w:hyperlink r:id="rId8" w:history="1">
        <w:r w:rsidRPr="00517CD0">
          <w:rPr>
            <w:lang w:val="tr-TR"/>
          </w:rPr>
          <w:t>www.titck.gov.tr</w:t>
        </w:r>
      </w:hyperlink>
      <w:r w:rsidRPr="00517CD0">
        <w:rPr>
          <w:lang w:val="tr-TR"/>
        </w:rPr>
        <w:t xml:space="preserve">; e- posta: </w:t>
      </w:r>
      <w:hyperlink r:id="rId9" w:history="1">
        <w:r w:rsidRPr="00517CD0">
          <w:rPr>
            <w:lang w:val="tr-TR"/>
          </w:rPr>
          <w:t>tufam@titck.gov.tr</w:t>
        </w:r>
      </w:hyperlink>
      <w:r w:rsidRPr="00517CD0">
        <w:rPr>
          <w:lang w:val="tr-TR"/>
        </w:rPr>
        <w:t>; tel: 0 800 314 00 08; faks: 0 312 218 35 99).</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4.9. Doz aşımı ve tedavisi</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PARİKALSİ’nin</w:t>
      </w:r>
      <w:proofErr w:type="spellEnd"/>
      <w:r w:rsidRPr="00517CD0">
        <w:rPr>
          <w:lang w:val="tr-TR"/>
        </w:rPr>
        <w:t xml:space="preserve"> aşırı dozu </w:t>
      </w:r>
      <w:proofErr w:type="spellStart"/>
      <w:r w:rsidRPr="00517CD0">
        <w:rPr>
          <w:lang w:val="tr-TR"/>
        </w:rPr>
        <w:t>hiperkalsemi</w:t>
      </w:r>
      <w:proofErr w:type="spellEnd"/>
      <w:r w:rsidR="006B0DCE" w:rsidRPr="00517CD0">
        <w:rPr>
          <w:lang w:val="tr-TR"/>
        </w:rPr>
        <w:t xml:space="preserve">, </w:t>
      </w:r>
      <w:proofErr w:type="spellStart"/>
      <w:r w:rsidR="006B0DCE" w:rsidRPr="00517CD0">
        <w:rPr>
          <w:lang w:val="tr-TR"/>
        </w:rPr>
        <w:t>hiperkalsuri</w:t>
      </w:r>
      <w:proofErr w:type="spellEnd"/>
      <w:r w:rsidR="006B0DCE" w:rsidRPr="00517CD0">
        <w:rPr>
          <w:lang w:val="tr-TR"/>
        </w:rPr>
        <w:t xml:space="preserve">, </w:t>
      </w:r>
      <w:proofErr w:type="spellStart"/>
      <w:r w:rsidR="006B0DCE" w:rsidRPr="00517CD0">
        <w:rPr>
          <w:lang w:val="tr-TR"/>
        </w:rPr>
        <w:t>hiperfosfatemi</w:t>
      </w:r>
      <w:proofErr w:type="spellEnd"/>
      <w:r w:rsidR="006B0DCE" w:rsidRPr="00517CD0">
        <w:rPr>
          <w:lang w:val="tr-TR"/>
        </w:rPr>
        <w:t xml:space="preserve"> ve </w:t>
      </w:r>
      <w:proofErr w:type="spellStart"/>
      <w:r w:rsidR="006B0DCE" w:rsidRPr="00517CD0">
        <w:rPr>
          <w:lang w:val="tr-TR"/>
        </w:rPr>
        <w:t>PTH’nin</w:t>
      </w:r>
      <w:proofErr w:type="spellEnd"/>
      <w:r w:rsidR="006B0DCE" w:rsidRPr="00517CD0">
        <w:rPr>
          <w:lang w:val="tr-TR"/>
        </w:rPr>
        <w:t xml:space="preserve"> aşırı baskılanmasına</w:t>
      </w:r>
      <w:r w:rsidR="00763587" w:rsidRPr="00517CD0">
        <w:rPr>
          <w:lang w:val="tr-TR"/>
        </w:rPr>
        <w:t xml:space="preserve"> yol</w:t>
      </w:r>
      <w:r w:rsidRPr="00517CD0">
        <w:rPr>
          <w:lang w:val="tr-TR"/>
        </w:rPr>
        <w:t xml:space="preserve"> açabilir (Bkz. Bölüm </w:t>
      </w:r>
      <w:proofErr w:type="gramStart"/>
      <w:r w:rsidRPr="00517CD0">
        <w:rPr>
          <w:lang w:val="tr-TR"/>
        </w:rPr>
        <w:t>4.4</w:t>
      </w:r>
      <w:proofErr w:type="gramEnd"/>
      <w:r w:rsidRPr="00517CD0">
        <w:rPr>
          <w:lang w:val="tr-TR"/>
        </w:rPr>
        <w:t>. Özel kullanım uyarıları ve önlemleri).</w:t>
      </w:r>
    </w:p>
    <w:p w:rsidR="006B0DCE" w:rsidRPr="00517CD0" w:rsidRDefault="006B0DCE" w:rsidP="006B0DCE">
      <w:pPr>
        <w:widowControl w:val="0"/>
        <w:autoSpaceDE w:val="0"/>
        <w:autoSpaceDN w:val="0"/>
        <w:adjustRightInd w:val="0"/>
        <w:ind w:right="48"/>
        <w:jc w:val="both"/>
        <w:rPr>
          <w:lang w:val="tr-TR"/>
        </w:rPr>
      </w:pPr>
    </w:p>
    <w:p w:rsidR="0050621D" w:rsidRPr="00517CD0" w:rsidRDefault="006B0DCE" w:rsidP="0050621D">
      <w:pPr>
        <w:widowControl w:val="0"/>
        <w:autoSpaceDE w:val="0"/>
        <w:autoSpaceDN w:val="0"/>
        <w:adjustRightInd w:val="0"/>
        <w:ind w:right="48"/>
        <w:jc w:val="both"/>
        <w:rPr>
          <w:lang w:val="tr-TR"/>
        </w:rPr>
      </w:pPr>
      <w:proofErr w:type="spellStart"/>
      <w:r w:rsidRPr="00517CD0">
        <w:rPr>
          <w:lang w:val="tr-TR"/>
        </w:rPr>
        <w:t>Parikalsitol</w:t>
      </w:r>
      <w:proofErr w:type="spellEnd"/>
      <w:r w:rsidRPr="00517CD0">
        <w:rPr>
          <w:lang w:val="tr-TR"/>
        </w:rPr>
        <w:t xml:space="preserve"> belirgin bir şekilde diyaliz ile uzaklaştırılmaz. </w:t>
      </w:r>
      <w:proofErr w:type="gramStart"/>
      <w:r w:rsidR="0050621D" w:rsidRPr="00517CD0">
        <w:rPr>
          <w:lang w:val="tr-TR"/>
        </w:rPr>
        <w:t xml:space="preserve">Klinik olarak anlamlı </w:t>
      </w:r>
      <w:proofErr w:type="spellStart"/>
      <w:r w:rsidR="0050621D" w:rsidRPr="00517CD0">
        <w:rPr>
          <w:lang w:val="tr-TR"/>
        </w:rPr>
        <w:t>hiperkalsemisi</w:t>
      </w:r>
      <w:proofErr w:type="spellEnd"/>
      <w:r w:rsidR="0050621D" w:rsidRPr="00517CD0">
        <w:rPr>
          <w:lang w:val="tr-TR"/>
        </w:rPr>
        <w:t xml:space="preserve"> olan hastaların tedavisi için PARİKALSİ dozu derhal azaltılmalı ya da kesilmeli, düşük kalsiyumlu diyet uygulanmalı, kalsiyum desteği kesilmeli, hasta mobilize edilmeli, sıvı ve elektrolit dengesizliklerine dikkat edilmeli, elektrokardiyografik anormallikler değerlendirilmeli (dijital alan hastalarda kritik önem taşır) ve hemodiyaliz ya da gerekirse kalsiyumsuz bir </w:t>
      </w:r>
      <w:proofErr w:type="spellStart"/>
      <w:r w:rsidR="0050621D" w:rsidRPr="00517CD0">
        <w:rPr>
          <w:lang w:val="tr-TR"/>
        </w:rPr>
        <w:t>diyalizat</w:t>
      </w:r>
      <w:proofErr w:type="spellEnd"/>
      <w:r w:rsidR="0050621D" w:rsidRPr="00517CD0">
        <w:rPr>
          <w:lang w:val="tr-TR"/>
        </w:rPr>
        <w:t xml:space="preserve"> ile periton diyalizi uygulanmalıdır.</w:t>
      </w:r>
      <w:proofErr w:type="gramEnd"/>
    </w:p>
    <w:p w:rsidR="006B0DCE" w:rsidRPr="00517CD0" w:rsidRDefault="006B0DCE" w:rsidP="0050621D">
      <w:pPr>
        <w:widowControl w:val="0"/>
        <w:autoSpaceDE w:val="0"/>
        <w:autoSpaceDN w:val="0"/>
        <w:adjustRightInd w:val="0"/>
        <w:ind w:right="48"/>
        <w:jc w:val="both"/>
        <w:rPr>
          <w:lang w:val="tr-TR"/>
        </w:rPr>
      </w:pPr>
    </w:p>
    <w:p w:rsidR="006B0DCE" w:rsidRPr="00517CD0" w:rsidRDefault="006B0DCE" w:rsidP="006B0DCE">
      <w:pPr>
        <w:autoSpaceDE w:val="0"/>
        <w:autoSpaceDN w:val="0"/>
        <w:adjustRightInd w:val="0"/>
        <w:jc w:val="both"/>
        <w:rPr>
          <w:lang w:val="tr-TR"/>
        </w:rPr>
      </w:pPr>
      <w:r w:rsidRPr="00517CD0">
        <w:rPr>
          <w:lang w:val="tr-TR"/>
        </w:rPr>
        <w:t xml:space="preserve">Serum kalsiyum düzeyleri normale döndüğünde PARİKALSİ tedavisine en düşük dozda tekrar başlanabilir. Serum kalsiyum düzeyleri sürekli olarak ve önemli derecede yüksek ise farklı alternatif tedaviler uygulanabilir. Bu tedavilere fosfat ve </w:t>
      </w:r>
      <w:proofErr w:type="spellStart"/>
      <w:r w:rsidRPr="00517CD0">
        <w:rPr>
          <w:lang w:val="tr-TR"/>
        </w:rPr>
        <w:t>kortikosteroid</w:t>
      </w:r>
      <w:proofErr w:type="spellEnd"/>
      <w:r w:rsidRPr="00517CD0">
        <w:rPr>
          <w:lang w:val="tr-TR"/>
        </w:rPr>
        <w:t xml:space="preserve"> gibi ilaçlar ve idrar atılımının uya</w:t>
      </w:r>
      <w:r w:rsidR="004335A1" w:rsidRPr="00517CD0">
        <w:rPr>
          <w:lang w:val="tr-TR"/>
        </w:rPr>
        <w:t>rı</w:t>
      </w:r>
      <w:r w:rsidRPr="00517CD0">
        <w:rPr>
          <w:lang w:val="tr-TR"/>
        </w:rPr>
        <w:t>lması dahildir.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PARİKALSİ enjeksiyonluk çözelti, yardımcı madde olarak </w:t>
      </w:r>
      <w:r w:rsidR="00E93C06" w:rsidRPr="00517CD0">
        <w:rPr>
          <w:lang w:val="tr-TR"/>
        </w:rPr>
        <w:t>311.700 mg</w:t>
      </w:r>
      <w:r w:rsidRPr="00517CD0">
        <w:rPr>
          <w:lang w:val="tr-TR"/>
        </w:rPr>
        <w:t xml:space="preserve"> </w:t>
      </w:r>
      <w:proofErr w:type="spellStart"/>
      <w:r w:rsidRPr="00517CD0">
        <w:rPr>
          <w:lang w:val="tr-TR"/>
        </w:rPr>
        <w:t>propilen</w:t>
      </w:r>
      <w:proofErr w:type="spellEnd"/>
      <w:r w:rsidRPr="00517CD0">
        <w:rPr>
          <w:lang w:val="tr-TR"/>
        </w:rPr>
        <w:t xml:space="preserve"> glikol içerir. Yüksek dozlardaki uygulama sonrası izole vakalarda Merkezi Sinir Sistemi depresyonu, </w:t>
      </w:r>
      <w:proofErr w:type="spellStart"/>
      <w:r w:rsidRPr="00517CD0">
        <w:rPr>
          <w:lang w:val="tr-TR"/>
        </w:rPr>
        <w:t>hemoliz</w:t>
      </w:r>
      <w:proofErr w:type="spellEnd"/>
      <w:r w:rsidRPr="00517CD0">
        <w:rPr>
          <w:lang w:val="tr-TR"/>
        </w:rPr>
        <w:t xml:space="preserve"> ve laktik </w:t>
      </w:r>
      <w:proofErr w:type="spellStart"/>
      <w:r w:rsidRPr="00517CD0">
        <w:rPr>
          <w:lang w:val="tr-TR"/>
        </w:rPr>
        <w:t>asidoz</w:t>
      </w:r>
      <w:proofErr w:type="spellEnd"/>
      <w:r w:rsidRPr="00517CD0">
        <w:rPr>
          <w:lang w:val="tr-TR"/>
        </w:rPr>
        <w:t xml:space="preserve">, </w:t>
      </w:r>
      <w:proofErr w:type="spellStart"/>
      <w:r w:rsidRPr="00517CD0">
        <w:rPr>
          <w:lang w:val="tr-TR"/>
        </w:rPr>
        <w:t>propilen</w:t>
      </w:r>
      <w:proofErr w:type="spellEnd"/>
      <w:r w:rsidRPr="00517CD0">
        <w:rPr>
          <w:lang w:val="tr-TR"/>
        </w:rPr>
        <w:t xml:space="preserve"> glikol ile ilişkili toksik etki olarak bildirilmiştir.  Propilen glikol diyaliz işlemi sırasında elimine edildiği için bu etkilerin PARİKALSİ uygulamasında bulunması beklenmemesine rağmen doz aşımı durumlarındaki toksik etki riski dikkate alınmalıdır.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5. FARMAKOLOJİK ÖZELLİKLER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5.1. Farmakodinamik özellikler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Farmakoterapötik</w:t>
      </w:r>
      <w:proofErr w:type="spellEnd"/>
      <w:r w:rsidRPr="00517CD0">
        <w:rPr>
          <w:lang w:val="tr-TR"/>
        </w:rPr>
        <w:t xml:space="preserve"> grup: </w:t>
      </w:r>
      <w:r w:rsidR="00600848" w:rsidRPr="00517CD0">
        <w:rPr>
          <w:lang w:val="tr-TR"/>
        </w:rPr>
        <w:t>Diğer Anti-</w:t>
      </w:r>
      <w:proofErr w:type="spellStart"/>
      <w:r w:rsidR="00600848" w:rsidRPr="00517CD0">
        <w:rPr>
          <w:lang w:val="tr-TR"/>
        </w:rPr>
        <w:t>Paratiroid</w:t>
      </w:r>
      <w:proofErr w:type="spellEnd"/>
      <w:r w:rsidR="00600848" w:rsidRPr="00517CD0">
        <w:rPr>
          <w:lang w:val="tr-TR"/>
        </w:rPr>
        <w:t xml:space="preserve"> İlaçlar</w:t>
      </w: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ATC kodu: </w:t>
      </w:r>
      <w:r w:rsidR="00600848" w:rsidRPr="00517CD0">
        <w:rPr>
          <w:lang w:val="tr-TR"/>
        </w:rPr>
        <w:t>H05BX02</w:t>
      </w:r>
    </w:p>
    <w:p w:rsidR="0050621D" w:rsidRPr="00517CD0" w:rsidRDefault="0050621D" w:rsidP="0050621D">
      <w:pPr>
        <w:widowControl w:val="0"/>
        <w:autoSpaceDE w:val="0"/>
        <w:autoSpaceDN w:val="0"/>
        <w:adjustRightInd w:val="0"/>
        <w:ind w:right="48"/>
        <w:jc w:val="both"/>
        <w:rPr>
          <w:lang w:val="tr-TR"/>
        </w:rPr>
      </w:pPr>
    </w:p>
    <w:p w:rsidR="00763587" w:rsidRPr="00517CD0" w:rsidRDefault="0050621D" w:rsidP="00763587">
      <w:pPr>
        <w:widowControl w:val="0"/>
        <w:autoSpaceDE w:val="0"/>
        <w:autoSpaceDN w:val="0"/>
        <w:adjustRightInd w:val="0"/>
        <w:ind w:right="48"/>
        <w:jc w:val="both"/>
        <w:rPr>
          <w:lang w:val="tr-TR"/>
        </w:rPr>
      </w:pPr>
      <w:r w:rsidRPr="00517CD0">
        <w:rPr>
          <w:lang w:val="tr-TR"/>
        </w:rPr>
        <w:t>Etki Mekanizması</w:t>
      </w:r>
    </w:p>
    <w:p w:rsidR="0050621D" w:rsidRPr="00517CD0" w:rsidRDefault="0050621D" w:rsidP="00763587">
      <w:pPr>
        <w:widowControl w:val="0"/>
        <w:autoSpaceDE w:val="0"/>
        <w:autoSpaceDN w:val="0"/>
        <w:adjustRightInd w:val="0"/>
        <w:ind w:right="48"/>
        <w:jc w:val="both"/>
        <w:rPr>
          <w:lang w:val="tr-TR"/>
        </w:rPr>
      </w:pPr>
      <w:proofErr w:type="spellStart"/>
      <w:r w:rsidRPr="00517CD0">
        <w:rPr>
          <w:lang w:val="tr-TR"/>
        </w:rPr>
        <w:t>Parikalsitol</w:t>
      </w:r>
      <w:proofErr w:type="spellEnd"/>
      <w:r w:rsidRPr="00517CD0">
        <w:rPr>
          <w:lang w:val="tr-TR"/>
        </w:rPr>
        <w:t xml:space="preserve">, </w:t>
      </w:r>
      <w:proofErr w:type="spellStart"/>
      <w:r w:rsidRPr="00517CD0">
        <w:rPr>
          <w:lang w:val="tr-TR"/>
        </w:rPr>
        <w:t>kalsitriolün</w:t>
      </w:r>
      <w:proofErr w:type="spellEnd"/>
      <w:r w:rsidRPr="00517CD0">
        <w:rPr>
          <w:lang w:val="tr-TR"/>
        </w:rPr>
        <w:t xml:space="preserve"> yan zincirindeki (D2) ve A (19-</w:t>
      </w:r>
      <w:proofErr w:type="spellStart"/>
      <w:r w:rsidRPr="00517CD0">
        <w:rPr>
          <w:lang w:val="tr-TR"/>
        </w:rPr>
        <w:t>nor</w:t>
      </w:r>
      <w:proofErr w:type="spellEnd"/>
      <w:r w:rsidRPr="00517CD0">
        <w:rPr>
          <w:lang w:val="tr-TR"/>
        </w:rPr>
        <w:t xml:space="preserve">) halkasındaki değişimlerle </w:t>
      </w:r>
      <w:r w:rsidR="006B0DCE" w:rsidRPr="00517CD0">
        <w:rPr>
          <w:lang w:val="tr-TR"/>
        </w:rPr>
        <w:t>sentetik,</w:t>
      </w:r>
      <w:r w:rsidRPr="00517CD0">
        <w:rPr>
          <w:lang w:val="tr-TR"/>
        </w:rPr>
        <w:t xml:space="preserve"> biyolojik olarak aktif bir D vitamini </w:t>
      </w:r>
      <w:proofErr w:type="spellStart"/>
      <w:r w:rsidRPr="00517CD0">
        <w:rPr>
          <w:lang w:val="tr-TR"/>
        </w:rPr>
        <w:t>analogudur</w:t>
      </w:r>
      <w:proofErr w:type="spellEnd"/>
      <w:r w:rsidRPr="00517CD0">
        <w:rPr>
          <w:lang w:val="tr-TR"/>
        </w:rPr>
        <w:t xml:space="preserve">. </w:t>
      </w:r>
      <w:proofErr w:type="spellStart"/>
      <w:r w:rsidR="006B0DCE" w:rsidRPr="00517CD0">
        <w:rPr>
          <w:lang w:val="tr-TR"/>
        </w:rPr>
        <w:t>Kalsitrolden</w:t>
      </w:r>
      <w:proofErr w:type="spellEnd"/>
      <w:r w:rsidR="006B0DCE" w:rsidRPr="00517CD0">
        <w:rPr>
          <w:lang w:val="tr-TR"/>
        </w:rPr>
        <w:t xml:space="preserve"> farklı olarak,</w:t>
      </w:r>
      <w:r w:rsidR="007D626F" w:rsidRPr="00517CD0">
        <w:rPr>
          <w:lang w:val="tr-TR"/>
        </w:rPr>
        <w:t xml:space="preserve"> </w:t>
      </w:r>
      <w:proofErr w:type="spellStart"/>
      <w:r w:rsidR="006B0DCE" w:rsidRPr="00517CD0">
        <w:rPr>
          <w:lang w:val="tr-TR"/>
        </w:rPr>
        <w:lastRenderedPageBreak/>
        <w:t>parikalsitol</w:t>
      </w:r>
      <w:proofErr w:type="spellEnd"/>
      <w:r w:rsidR="006B0DCE" w:rsidRPr="00517CD0">
        <w:rPr>
          <w:lang w:val="tr-TR"/>
        </w:rPr>
        <w:t xml:space="preserve"> </w:t>
      </w:r>
      <w:proofErr w:type="spellStart"/>
      <w:r w:rsidR="006B0DCE" w:rsidRPr="00517CD0">
        <w:rPr>
          <w:lang w:val="tr-TR"/>
        </w:rPr>
        <w:t>selektif</w:t>
      </w:r>
      <w:proofErr w:type="spellEnd"/>
      <w:r w:rsidR="006B0DCE" w:rsidRPr="00517CD0">
        <w:rPr>
          <w:lang w:val="tr-TR"/>
        </w:rPr>
        <w:t xml:space="preserve"> D vitamini resept</w:t>
      </w:r>
      <w:r w:rsidR="007D626F" w:rsidRPr="00517CD0">
        <w:rPr>
          <w:lang w:val="tr-TR"/>
        </w:rPr>
        <w:t>örü</w:t>
      </w:r>
      <w:r w:rsidR="006B0DCE" w:rsidRPr="00517CD0">
        <w:rPr>
          <w:lang w:val="tr-TR"/>
        </w:rPr>
        <w:t xml:space="preserve"> (VDR) </w:t>
      </w:r>
      <w:proofErr w:type="spellStart"/>
      <w:r w:rsidR="006B0DCE" w:rsidRPr="00517CD0">
        <w:rPr>
          <w:lang w:val="tr-TR"/>
        </w:rPr>
        <w:t>aktivat</w:t>
      </w:r>
      <w:r w:rsidR="007D626F" w:rsidRPr="00517CD0">
        <w:rPr>
          <w:lang w:val="tr-TR"/>
        </w:rPr>
        <w:t>ö</w:t>
      </w:r>
      <w:r w:rsidR="006B0DCE" w:rsidRPr="00517CD0">
        <w:rPr>
          <w:lang w:val="tr-TR"/>
        </w:rPr>
        <w:t>r</w:t>
      </w:r>
      <w:r w:rsidR="007D626F" w:rsidRPr="00517CD0">
        <w:rPr>
          <w:lang w:val="tr-TR"/>
        </w:rPr>
        <w:t>üdür</w:t>
      </w:r>
      <w:proofErr w:type="spellEnd"/>
      <w:r w:rsidR="006B0DCE" w:rsidRPr="00517CD0">
        <w:rPr>
          <w:lang w:val="tr-TR"/>
        </w:rPr>
        <w:t>.</w:t>
      </w:r>
      <w:r w:rsidR="007D626F" w:rsidRPr="00517CD0">
        <w:rPr>
          <w:lang w:val="tr-TR"/>
        </w:rPr>
        <w:t xml:space="preserve"> </w:t>
      </w:r>
      <w:proofErr w:type="spellStart"/>
      <w:r w:rsidRPr="00517CD0">
        <w:rPr>
          <w:lang w:val="tr-TR"/>
        </w:rPr>
        <w:t>Parikalsitol</w:t>
      </w:r>
      <w:proofErr w:type="spellEnd"/>
      <w:r w:rsidRPr="00517CD0">
        <w:rPr>
          <w:lang w:val="tr-TR"/>
        </w:rPr>
        <w:t xml:space="preserve"> </w:t>
      </w:r>
      <w:proofErr w:type="spellStart"/>
      <w:r w:rsidRPr="00517CD0">
        <w:rPr>
          <w:lang w:val="tr-TR"/>
        </w:rPr>
        <w:t>paratiroid</w:t>
      </w:r>
      <w:proofErr w:type="spellEnd"/>
      <w:r w:rsidRPr="00517CD0">
        <w:rPr>
          <w:lang w:val="tr-TR"/>
        </w:rPr>
        <w:t xml:space="preserve"> bezlerdeki </w:t>
      </w:r>
      <w:proofErr w:type="spellStart"/>
      <w:r w:rsidRPr="00517CD0">
        <w:rPr>
          <w:lang w:val="tr-TR"/>
        </w:rPr>
        <w:t>VDR’yi</w:t>
      </w:r>
      <w:proofErr w:type="spellEnd"/>
      <w:r w:rsidRPr="00517CD0">
        <w:rPr>
          <w:lang w:val="tr-TR"/>
        </w:rPr>
        <w:t xml:space="preserve">, </w:t>
      </w:r>
      <w:proofErr w:type="spellStart"/>
      <w:r w:rsidRPr="00517CD0">
        <w:rPr>
          <w:lang w:val="tr-TR"/>
        </w:rPr>
        <w:t>barsaklardaki</w:t>
      </w:r>
      <w:proofErr w:type="spellEnd"/>
      <w:r w:rsidRPr="00517CD0">
        <w:rPr>
          <w:lang w:val="tr-TR"/>
        </w:rPr>
        <w:t xml:space="preserve"> </w:t>
      </w:r>
      <w:proofErr w:type="spellStart"/>
      <w:r w:rsidRPr="00517CD0">
        <w:rPr>
          <w:lang w:val="tr-TR"/>
        </w:rPr>
        <w:t>VDR’yi</w:t>
      </w:r>
      <w:proofErr w:type="spellEnd"/>
      <w:r w:rsidRPr="00517CD0">
        <w:rPr>
          <w:lang w:val="tr-TR"/>
        </w:rPr>
        <w:t xml:space="preserve"> artırmadan </w:t>
      </w:r>
      <w:proofErr w:type="spellStart"/>
      <w:r w:rsidRPr="00517CD0">
        <w:rPr>
          <w:lang w:val="tr-TR"/>
        </w:rPr>
        <w:t>selektif</w:t>
      </w:r>
      <w:proofErr w:type="spellEnd"/>
      <w:r w:rsidRPr="00517CD0">
        <w:rPr>
          <w:lang w:val="tr-TR"/>
        </w:rPr>
        <w:t xml:space="preserve"> olarak </w:t>
      </w:r>
      <w:proofErr w:type="spellStart"/>
      <w:r w:rsidRPr="00517CD0">
        <w:rPr>
          <w:lang w:val="tr-TR"/>
        </w:rPr>
        <w:t>upregüle</w:t>
      </w:r>
      <w:proofErr w:type="spellEnd"/>
      <w:r w:rsidRPr="00517CD0">
        <w:rPr>
          <w:lang w:val="tr-TR"/>
        </w:rPr>
        <w:t xml:space="preserve"> eder ve kemik </w:t>
      </w:r>
      <w:proofErr w:type="spellStart"/>
      <w:r w:rsidRPr="00517CD0">
        <w:rPr>
          <w:lang w:val="tr-TR"/>
        </w:rPr>
        <w:t>rezorpsiyonu</w:t>
      </w:r>
      <w:proofErr w:type="spellEnd"/>
      <w:r w:rsidRPr="00517CD0">
        <w:rPr>
          <w:lang w:val="tr-TR"/>
        </w:rPr>
        <w:t xml:space="preserve"> üzerinde daha az aktiviteye sahiptir. </w:t>
      </w:r>
      <w:proofErr w:type="spellStart"/>
      <w:r w:rsidRPr="00517CD0">
        <w:rPr>
          <w:lang w:val="tr-TR"/>
        </w:rPr>
        <w:t>Parikalsitol</w:t>
      </w:r>
      <w:proofErr w:type="spellEnd"/>
      <w:r w:rsidRPr="00517CD0">
        <w:rPr>
          <w:lang w:val="tr-TR"/>
        </w:rPr>
        <w:t xml:space="preserve"> aynı zamanda </w:t>
      </w:r>
      <w:proofErr w:type="spellStart"/>
      <w:r w:rsidRPr="00517CD0">
        <w:rPr>
          <w:lang w:val="tr-TR"/>
        </w:rPr>
        <w:t>paratiroid</w:t>
      </w:r>
      <w:proofErr w:type="spellEnd"/>
      <w:r w:rsidRPr="00517CD0">
        <w:rPr>
          <w:lang w:val="tr-TR"/>
        </w:rPr>
        <w:t xml:space="preserve"> bezlerindeki kalsiyuma duyarlı reseptörleri de </w:t>
      </w:r>
      <w:proofErr w:type="spellStart"/>
      <w:r w:rsidRPr="00517CD0">
        <w:rPr>
          <w:lang w:val="tr-TR"/>
        </w:rPr>
        <w:t>upregüle</w:t>
      </w:r>
      <w:proofErr w:type="spellEnd"/>
      <w:r w:rsidRPr="00517CD0">
        <w:rPr>
          <w:lang w:val="tr-TR"/>
        </w:rPr>
        <w:t xml:space="preserve"> eder. Sonuç olarak,  </w:t>
      </w:r>
      <w:proofErr w:type="spellStart"/>
      <w:r w:rsidRPr="00517CD0">
        <w:rPr>
          <w:lang w:val="tr-TR"/>
        </w:rPr>
        <w:t>parikalsitol</w:t>
      </w:r>
      <w:proofErr w:type="spellEnd"/>
      <w:r w:rsidRPr="00517CD0">
        <w:rPr>
          <w:lang w:val="tr-TR"/>
        </w:rPr>
        <w:t xml:space="preserve">,  </w:t>
      </w:r>
      <w:proofErr w:type="spellStart"/>
      <w:r w:rsidRPr="00517CD0">
        <w:rPr>
          <w:lang w:val="tr-TR"/>
        </w:rPr>
        <w:t>paratiroid</w:t>
      </w:r>
      <w:proofErr w:type="spellEnd"/>
      <w:r w:rsidRPr="00517CD0">
        <w:rPr>
          <w:lang w:val="tr-TR"/>
        </w:rPr>
        <w:t xml:space="preserve"> </w:t>
      </w:r>
      <w:proofErr w:type="spellStart"/>
      <w:r w:rsidRPr="00517CD0">
        <w:rPr>
          <w:lang w:val="tr-TR"/>
        </w:rPr>
        <w:t>proliferasyonunu</w:t>
      </w:r>
      <w:proofErr w:type="spellEnd"/>
      <w:r w:rsidRPr="00517CD0">
        <w:rPr>
          <w:lang w:val="tr-TR"/>
        </w:rPr>
        <w:t xml:space="preserve"> inhibe ederek ve PTH sentezini ve </w:t>
      </w:r>
      <w:proofErr w:type="spellStart"/>
      <w:r w:rsidRPr="00517CD0">
        <w:rPr>
          <w:lang w:val="tr-TR"/>
        </w:rPr>
        <w:t>sekresyonunu</w:t>
      </w:r>
      <w:proofErr w:type="spellEnd"/>
      <w:r w:rsidRPr="00517CD0">
        <w:rPr>
          <w:lang w:val="tr-TR"/>
        </w:rPr>
        <w:t xml:space="preserve"> azaltarak, kalsiyum ve fosfor düzeyleri üzerinde minimal bir etkiyle </w:t>
      </w:r>
      <w:proofErr w:type="spellStart"/>
      <w:r w:rsidRPr="00517CD0">
        <w:rPr>
          <w:lang w:val="tr-TR"/>
        </w:rPr>
        <w:t>paratiroid</w:t>
      </w:r>
      <w:proofErr w:type="spellEnd"/>
      <w:r w:rsidRPr="00517CD0">
        <w:rPr>
          <w:lang w:val="tr-TR"/>
        </w:rPr>
        <w:t xml:space="preserve"> hormon (PTH) düzeylerini düşürür ve kemik hacmini sürdürmek ve </w:t>
      </w:r>
      <w:proofErr w:type="spellStart"/>
      <w:r w:rsidRPr="00517CD0">
        <w:rPr>
          <w:lang w:val="tr-TR"/>
        </w:rPr>
        <w:t>mineralizasyon</w:t>
      </w:r>
      <w:proofErr w:type="spellEnd"/>
      <w:r w:rsidRPr="00517CD0">
        <w:rPr>
          <w:lang w:val="tr-TR"/>
        </w:rPr>
        <w:t xml:space="preserve"> yüzeylerini artırmak için kemik hücreleri üzerinde doğrudan etki gösterebilir.  Kalsiyum ve fosfor </w:t>
      </w:r>
      <w:proofErr w:type="spellStart"/>
      <w:r w:rsidRPr="00517CD0">
        <w:rPr>
          <w:lang w:val="tr-TR"/>
        </w:rPr>
        <w:t>homeostazının</w:t>
      </w:r>
      <w:proofErr w:type="spellEnd"/>
      <w:r w:rsidRPr="00517CD0">
        <w:rPr>
          <w:lang w:val="tr-TR"/>
        </w:rPr>
        <w:t xml:space="preserve"> </w:t>
      </w:r>
      <w:proofErr w:type="spellStart"/>
      <w:r w:rsidRPr="00517CD0">
        <w:rPr>
          <w:lang w:val="tr-TR"/>
        </w:rPr>
        <w:t>normalizasyonu</w:t>
      </w:r>
      <w:proofErr w:type="spellEnd"/>
      <w:r w:rsidRPr="00517CD0">
        <w:rPr>
          <w:lang w:val="tr-TR"/>
        </w:rPr>
        <w:t xml:space="preserve"> ile anormal PTH düzeylerinin düzeltilmesi, kronik böbrek hastalığı ile bağlantılı metabolik kemik hastalığını önleyebilir veya tedavi edebilir.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Klinik Çalışmalar</w:t>
      </w:r>
    </w:p>
    <w:p w:rsidR="0050621D" w:rsidRPr="00517CD0" w:rsidRDefault="0050621D" w:rsidP="0050621D">
      <w:pPr>
        <w:widowControl w:val="0"/>
        <w:autoSpaceDE w:val="0"/>
        <w:autoSpaceDN w:val="0"/>
        <w:adjustRightInd w:val="0"/>
        <w:ind w:right="48"/>
        <w:jc w:val="both"/>
        <w:rPr>
          <w:lang w:val="tr-TR"/>
        </w:rPr>
      </w:pPr>
    </w:p>
    <w:p w:rsidR="007D626F" w:rsidRPr="00517CD0" w:rsidRDefault="007D626F" w:rsidP="007D626F">
      <w:pPr>
        <w:autoSpaceDE w:val="0"/>
        <w:autoSpaceDN w:val="0"/>
        <w:adjustRightInd w:val="0"/>
        <w:rPr>
          <w:rFonts w:ascii="Times" w:eastAsiaTheme="minorHAnsi" w:hAnsi="Times" w:cs="Times"/>
          <w:sz w:val="22"/>
          <w:szCs w:val="22"/>
          <w:lang w:val="tr-TR"/>
        </w:rPr>
      </w:pPr>
      <w:proofErr w:type="spellStart"/>
      <w:r w:rsidRPr="00517CD0">
        <w:rPr>
          <w:rFonts w:ascii="Times" w:eastAsiaTheme="minorHAnsi" w:hAnsi="Times" w:cs="Times"/>
          <w:sz w:val="22"/>
          <w:szCs w:val="22"/>
          <w:lang w:val="tr-TR"/>
        </w:rPr>
        <w:t>Pcdiyatrik</w:t>
      </w:r>
      <w:proofErr w:type="spellEnd"/>
      <w:r w:rsidRPr="00517CD0">
        <w:rPr>
          <w:rFonts w:ascii="Times" w:eastAsiaTheme="minorHAnsi" w:hAnsi="Times" w:cs="Times"/>
          <w:sz w:val="22"/>
          <w:szCs w:val="22"/>
          <w:lang w:val="tr-TR"/>
        </w:rPr>
        <w:t xml:space="preserve"> hastalar:</w:t>
      </w:r>
    </w:p>
    <w:p w:rsidR="007D626F" w:rsidRPr="00517CD0" w:rsidRDefault="007D626F" w:rsidP="007D626F">
      <w:pPr>
        <w:autoSpaceDE w:val="0"/>
        <w:autoSpaceDN w:val="0"/>
        <w:adjustRightInd w:val="0"/>
        <w:jc w:val="both"/>
        <w:rPr>
          <w:lang w:val="tr-TR"/>
        </w:rPr>
      </w:pPr>
      <w:proofErr w:type="spellStart"/>
      <w:r w:rsidRPr="00517CD0">
        <w:rPr>
          <w:lang w:val="tr-TR"/>
        </w:rPr>
        <w:t>Parikalsitolün</w:t>
      </w:r>
      <w:proofErr w:type="spellEnd"/>
      <w:r w:rsidRPr="00517CD0">
        <w:rPr>
          <w:lang w:val="tr-TR"/>
        </w:rPr>
        <w:t xml:space="preserve"> güvenliliği ve etkililiği, 5-19 yaş arasında hemodiyalizdeki son dönem böbrek hastalığı olan 29 pediyatrik hastanın 12 haftalık </w:t>
      </w:r>
      <w:proofErr w:type="spellStart"/>
      <w:r w:rsidRPr="00517CD0">
        <w:rPr>
          <w:lang w:val="tr-TR"/>
        </w:rPr>
        <w:t>randomize</w:t>
      </w:r>
      <w:proofErr w:type="spellEnd"/>
      <w:r w:rsidRPr="00517CD0">
        <w:rPr>
          <w:lang w:val="tr-TR"/>
        </w:rPr>
        <w:t xml:space="preserve">, çift kör, </w:t>
      </w:r>
      <w:proofErr w:type="spellStart"/>
      <w:r w:rsidRPr="00517CD0">
        <w:rPr>
          <w:lang w:val="tr-TR"/>
        </w:rPr>
        <w:t>plasebo</w:t>
      </w:r>
      <w:proofErr w:type="spellEnd"/>
      <w:r w:rsidRPr="00517CD0">
        <w:rPr>
          <w:lang w:val="tr-TR"/>
        </w:rPr>
        <w:t xml:space="preserve"> kontrollü çalışmasında incelenmiştir.  Çalışmada </w:t>
      </w:r>
      <w:proofErr w:type="spellStart"/>
      <w:r w:rsidRPr="00517CD0">
        <w:rPr>
          <w:lang w:val="tr-TR"/>
        </w:rPr>
        <w:t>parikalsitol</w:t>
      </w:r>
      <w:proofErr w:type="spellEnd"/>
      <w:r w:rsidRPr="00517CD0">
        <w:rPr>
          <w:lang w:val="tr-TR"/>
        </w:rPr>
        <w:t xml:space="preserve"> ile tedavi edilen hastalardan en ge</w:t>
      </w:r>
      <w:r w:rsidR="009A2AB4" w:rsidRPr="00517CD0">
        <w:rPr>
          <w:lang w:val="tr-TR"/>
        </w:rPr>
        <w:t>n</w:t>
      </w:r>
      <w:r w:rsidRPr="00517CD0">
        <w:rPr>
          <w:lang w:val="tr-TR"/>
        </w:rPr>
        <w:t xml:space="preserve">ç altısı 5-12 yaşları arasındadır. </w:t>
      </w:r>
      <w:proofErr w:type="spellStart"/>
      <w:r w:rsidRPr="00517CD0">
        <w:rPr>
          <w:lang w:val="tr-TR"/>
        </w:rPr>
        <w:t>Parikalsitolün</w:t>
      </w:r>
      <w:proofErr w:type="spellEnd"/>
      <w:r w:rsidRPr="00517CD0">
        <w:rPr>
          <w:lang w:val="tr-TR"/>
        </w:rPr>
        <w:t xml:space="preserve"> başlangıç dozu sırasıyl</w:t>
      </w:r>
      <w:r w:rsidR="009540F8" w:rsidRPr="00517CD0">
        <w:rPr>
          <w:lang w:val="tr-TR"/>
        </w:rPr>
        <w:t xml:space="preserve">a; bazal </w:t>
      </w:r>
      <w:proofErr w:type="spellStart"/>
      <w:r w:rsidR="009540F8" w:rsidRPr="00517CD0">
        <w:rPr>
          <w:lang w:val="tr-TR"/>
        </w:rPr>
        <w:t>iPTH</w:t>
      </w:r>
      <w:proofErr w:type="spellEnd"/>
      <w:r w:rsidR="009540F8" w:rsidRPr="00517CD0">
        <w:rPr>
          <w:lang w:val="tr-TR"/>
        </w:rPr>
        <w:t xml:space="preserve"> seviyesi 500 </w:t>
      </w:r>
      <w:proofErr w:type="spellStart"/>
      <w:r w:rsidR="009540F8" w:rsidRPr="00517CD0">
        <w:rPr>
          <w:lang w:val="tr-TR"/>
        </w:rPr>
        <w:t>pg</w:t>
      </w:r>
      <w:proofErr w:type="spellEnd"/>
      <w:r w:rsidR="009540F8" w:rsidRPr="00517CD0">
        <w:rPr>
          <w:lang w:val="tr-TR"/>
        </w:rPr>
        <w:t>/</w:t>
      </w:r>
      <w:proofErr w:type="spellStart"/>
      <w:r w:rsidR="009540F8" w:rsidRPr="00517CD0">
        <w:rPr>
          <w:lang w:val="tr-TR"/>
        </w:rPr>
        <w:t>mL</w:t>
      </w:r>
      <w:r w:rsidRPr="00517CD0">
        <w:rPr>
          <w:lang w:val="tr-TR"/>
        </w:rPr>
        <w:t>'den</w:t>
      </w:r>
      <w:proofErr w:type="spellEnd"/>
      <w:r w:rsidRPr="00517CD0">
        <w:rPr>
          <w:lang w:val="tr-TR"/>
        </w:rPr>
        <w:t xml:space="preserve"> az olanlarda haftada üç kez 0.04 mikrogram /kg veya bazal </w:t>
      </w:r>
      <w:proofErr w:type="spellStart"/>
      <w:r w:rsidRPr="00517CD0">
        <w:rPr>
          <w:lang w:val="tr-TR"/>
        </w:rPr>
        <w:t>iPTH</w:t>
      </w:r>
      <w:proofErr w:type="spellEnd"/>
      <w:r w:rsidRPr="00517CD0">
        <w:rPr>
          <w:lang w:val="tr-TR"/>
        </w:rPr>
        <w:t xml:space="preserve"> seviyesi ≥ 500 </w:t>
      </w:r>
      <w:proofErr w:type="spellStart"/>
      <w:r w:rsidRPr="00517CD0">
        <w:rPr>
          <w:lang w:val="tr-TR"/>
        </w:rPr>
        <w:t>pg</w:t>
      </w:r>
      <w:proofErr w:type="spellEnd"/>
      <w:r w:rsidRPr="00517CD0">
        <w:rPr>
          <w:lang w:val="tr-TR"/>
        </w:rPr>
        <w:t>/m</w:t>
      </w:r>
      <w:r w:rsidR="009540F8" w:rsidRPr="00517CD0">
        <w:rPr>
          <w:lang w:val="tr-TR"/>
        </w:rPr>
        <w:t>L</w:t>
      </w:r>
      <w:r w:rsidRPr="00517CD0">
        <w:rPr>
          <w:lang w:val="tr-TR"/>
        </w:rPr>
        <w:t xml:space="preserve"> olanlarda haftada üç kez 0.08 mikrogram /</w:t>
      </w:r>
      <w:proofErr w:type="spellStart"/>
      <w:r w:rsidRPr="00517CD0">
        <w:rPr>
          <w:lang w:val="tr-TR"/>
        </w:rPr>
        <w:t>kg'dır</w:t>
      </w:r>
      <w:proofErr w:type="spellEnd"/>
      <w:r w:rsidRPr="00517CD0">
        <w:rPr>
          <w:lang w:val="tr-TR"/>
        </w:rPr>
        <w:t xml:space="preserve">. Serum </w:t>
      </w:r>
      <w:proofErr w:type="spellStart"/>
      <w:r w:rsidRPr="00517CD0">
        <w:rPr>
          <w:lang w:val="tr-TR"/>
        </w:rPr>
        <w:t>iPTH</w:t>
      </w:r>
      <w:proofErr w:type="spellEnd"/>
      <w:r w:rsidRPr="00517CD0">
        <w:rPr>
          <w:lang w:val="tr-TR"/>
        </w:rPr>
        <w:t>, kalsiyum ve kalsiyum fosfor çarpımı (</w:t>
      </w:r>
      <w:proofErr w:type="spellStart"/>
      <w:r w:rsidRPr="00517CD0">
        <w:rPr>
          <w:lang w:val="tr-TR"/>
        </w:rPr>
        <w:t>CaxP</w:t>
      </w:r>
      <w:proofErr w:type="spellEnd"/>
      <w:r w:rsidRPr="00517CD0">
        <w:rPr>
          <w:lang w:val="tr-TR"/>
        </w:rPr>
        <w:t xml:space="preserve">) seviyelerine göre </w:t>
      </w:r>
      <w:proofErr w:type="spellStart"/>
      <w:r w:rsidRPr="00517CD0">
        <w:rPr>
          <w:lang w:val="tr-TR"/>
        </w:rPr>
        <w:t>parikalsitol</w:t>
      </w:r>
      <w:proofErr w:type="spellEnd"/>
      <w:r w:rsidRPr="00517CD0">
        <w:rPr>
          <w:lang w:val="tr-TR"/>
        </w:rPr>
        <w:t xml:space="preserve"> dozu </w:t>
      </w:r>
      <w:r w:rsidR="009A2AB4" w:rsidRPr="00517CD0">
        <w:rPr>
          <w:lang w:val="tr-TR"/>
        </w:rPr>
        <w:t>0.04 mikrogram</w:t>
      </w:r>
      <w:r w:rsidRPr="00517CD0">
        <w:rPr>
          <w:lang w:val="tr-TR"/>
        </w:rPr>
        <w:t>/</w:t>
      </w:r>
      <w:proofErr w:type="spellStart"/>
      <w:r w:rsidRPr="00517CD0">
        <w:rPr>
          <w:lang w:val="tr-TR"/>
        </w:rPr>
        <w:t>kg'lık</w:t>
      </w:r>
      <w:proofErr w:type="spellEnd"/>
      <w:r w:rsidRPr="00517CD0">
        <w:rPr>
          <w:lang w:val="tr-TR"/>
        </w:rPr>
        <w:t xml:space="preserve"> artışlarla ayarlanmıştır.</w:t>
      </w:r>
    </w:p>
    <w:p w:rsidR="007D626F" w:rsidRPr="00517CD0" w:rsidRDefault="007D626F" w:rsidP="0050621D">
      <w:pPr>
        <w:widowControl w:val="0"/>
        <w:autoSpaceDE w:val="0"/>
        <w:autoSpaceDN w:val="0"/>
        <w:adjustRightInd w:val="0"/>
        <w:ind w:right="48"/>
        <w:jc w:val="both"/>
        <w:rPr>
          <w:i/>
          <w:lang w:val="tr-TR"/>
        </w:rPr>
      </w:pPr>
    </w:p>
    <w:p w:rsidR="009A2AB4" w:rsidRPr="00517CD0" w:rsidRDefault="009A2AB4" w:rsidP="009A2AB4">
      <w:pPr>
        <w:widowControl w:val="0"/>
        <w:autoSpaceDE w:val="0"/>
        <w:autoSpaceDN w:val="0"/>
        <w:adjustRightInd w:val="0"/>
        <w:ind w:right="48"/>
        <w:jc w:val="both"/>
        <w:rPr>
          <w:lang w:val="tr-TR"/>
        </w:rPr>
      </w:pPr>
      <w:proofErr w:type="spellStart"/>
      <w:r w:rsidRPr="00517CD0">
        <w:rPr>
          <w:lang w:val="tr-TR"/>
        </w:rPr>
        <w:t>Parikalsi</w:t>
      </w:r>
      <w:r w:rsidR="008C64EC" w:rsidRPr="00517CD0">
        <w:rPr>
          <w:lang w:val="tr-TR"/>
        </w:rPr>
        <w:t>tol</w:t>
      </w:r>
      <w:proofErr w:type="spellEnd"/>
      <w:r w:rsidRPr="00517CD0">
        <w:rPr>
          <w:lang w:val="tr-TR"/>
        </w:rPr>
        <w:t xml:space="preserve"> ile tedavi edilen hastaların % 67’si ve </w:t>
      </w:r>
      <w:proofErr w:type="spellStart"/>
      <w:r w:rsidRPr="00517CD0">
        <w:rPr>
          <w:lang w:val="tr-TR"/>
        </w:rPr>
        <w:t>plasebo</w:t>
      </w:r>
      <w:proofErr w:type="spellEnd"/>
      <w:r w:rsidRPr="00517CD0">
        <w:rPr>
          <w:lang w:val="tr-TR"/>
        </w:rPr>
        <w:t xml:space="preserve"> ile tedavi edilen hastaların % 14’ü tedaviyi tamamlamıştır. </w:t>
      </w:r>
      <w:proofErr w:type="spellStart"/>
      <w:r w:rsidR="008C64EC" w:rsidRPr="00517CD0">
        <w:rPr>
          <w:lang w:val="tr-TR"/>
        </w:rPr>
        <w:t>Parikalsitol</w:t>
      </w:r>
      <w:proofErr w:type="spellEnd"/>
      <w:r w:rsidRPr="00517CD0">
        <w:rPr>
          <w:lang w:val="tr-TR"/>
        </w:rPr>
        <w:t xml:space="preserve"> grubundaki hastaların % 60’ı ile </w:t>
      </w:r>
      <w:proofErr w:type="spellStart"/>
      <w:r w:rsidRPr="00517CD0">
        <w:rPr>
          <w:lang w:val="tr-TR"/>
        </w:rPr>
        <w:t>plasebo</w:t>
      </w:r>
      <w:proofErr w:type="spellEnd"/>
      <w:r w:rsidRPr="00517CD0">
        <w:rPr>
          <w:lang w:val="tr-TR"/>
        </w:rPr>
        <w:t xml:space="preserve"> grubundaki hastaların % 21’i, bazal </w:t>
      </w:r>
      <w:proofErr w:type="spellStart"/>
      <w:r w:rsidRPr="00517CD0">
        <w:rPr>
          <w:lang w:val="tr-TR"/>
        </w:rPr>
        <w:t>iPTH</w:t>
      </w:r>
      <w:proofErr w:type="spellEnd"/>
      <w:r w:rsidRPr="00517CD0">
        <w:rPr>
          <w:lang w:val="tr-TR"/>
        </w:rPr>
        <w:t xml:space="preserve"> düzeyine göre arka arkaya iki kez %</w:t>
      </w:r>
      <w:r w:rsidR="00F37703" w:rsidRPr="00517CD0">
        <w:rPr>
          <w:lang w:val="tr-TR"/>
        </w:rPr>
        <w:t xml:space="preserve"> </w:t>
      </w:r>
      <w:r w:rsidRPr="00517CD0">
        <w:rPr>
          <w:lang w:val="tr-TR"/>
        </w:rPr>
        <w:t xml:space="preserve">30’luk düşüş göstermiştir. </w:t>
      </w:r>
      <w:proofErr w:type="spellStart"/>
      <w:r w:rsidRPr="00517CD0">
        <w:rPr>
          <w:lang w:val="tr-TR"/>
        </w:rPr>
        <w:t>Plasebo</w:t>
      </w:r>
      <w:proofErr w:type="spellEnd"/>
      <w:r w:rsidRPr="00517CD0">
        <w:rPr>
          <w:lang w:val="tr-TR"/>
        </w:rPr>
        <w:t xml:space="preserve"> hastalarının % 71’i </w:t>
      </w:r>
      <w:proofErr w:type="spellStart"/>
      <w:r w:rsidRPr="00517CD0">
        <w:rPr>
          <w:lang w:val="tr-TR"/>
        </w:rPr>
        <w:t>iPTH</w:t>
      </w:r>
      <w:proofErr w:type="spellEnd"/>
      <w:r w:rsidRPr="00517CD0">
        <w:rPr>
          <w:lang w:val="tr-TR"/>
        </w:rPr>
        <w:t xml:space="preserve"> seviyelerindeki aşırı yükselmelerden dolayı çalışmaya devam etmemiştir.</w:t>
      </w:r>
    </w:p>
    <w:p w:rsidR="009A2AB4" w:rsidRPr="00517CD0" w:rsidRDefault="009A2AB4" w:rsidP="009A2AB4">
      <w:pPr>
        <w:widowControl w:val="0"/>
        <w:autoSpaceDE w:val="0"/>
        <w:autoSpaceDN w:val="0"/>
        <w:adjustRightInd w:val="0"/>
        <w:ind w:right="48"/>
        <w:jc w:val="both"/>
        <w:rPr>
          <w:lang w:val="tr-TR"/>
        </w:rPr>
      </w:pPr>
    </w:p>
    <w:p w:rsidR="009A2AB4" w:rsidRPr="00517CD0" w:rsidRDefault="008C64EC" w:rsidP="009A2AB4">
      <w:pPr>
        <w:widowControl w:val="0"/>
        <w:autoSpaceDE w:val="0"/>
        <w:autoSpaceDN w:val="0"/>
        <w:adjustRightInd w:val="0"/>
        <w:ind w:right="48"/>
        <w:jc w:val="both"/>
        <w:rPr>
          <w:lang w:val="tr-TR"/>
        </w:rPr>
      </w:pPr>
      <w:proofErr w:type="spellStart"/>
      <w:r w:rsidRPr="00517CD0">
        <w:rPr>
          <w:lang w:val="tr-TR"/>
        </w:rPr>
        <w:t>Parikalsitol</w:t>
      </w:r>
      <w:proofErr w:type="spellEnd"/>
      <w:r w:rsidR="009A2AB4" w:rsidRPr="00517CD0">
        <w:rPr>
          <w:lang w:val="tr-TR"/>
        </w:rPr>
        <w:t xml:space="preserve"> grubunda veya </w:t>
      </w:r>
      <w:proofErr w:type="spellStart"/>
      <w:r w:rsidR="009A2AB4" w:rsidRPr="00517CD0">
        <w:rPr>
          <w:lang w:val="tr-TR"/>
        </w:rPr>
        <w:t>plasebo</w:t>
      </w:r>
      <w:proofErr w:type="spellEnd"/>
      <w:r w:rsidR="009A2AB4" w:rsidRPr="00517CD0">
        <w:rPr>
          <w:lang w:val="tr-TR"/>
        </w:rPr>
        <w:t xml:space="preserve"> grubunda kimsede </w:t>
      </w:r>
      <w:proofErr w:type="spellStart"/>
      <w:r w:rsidR="009A2AB4" w:rsidRPr="00517CD0">
        <w:rPr>
          <w:lang w:val="tr-TR"/>
        </w:rPr>
        <w:t>hiperkalsemi</w:t>
      </w:r>
      <w:proofErr w:type="spellEnd"/>
      <w:r w:rsidR="009A2AB4" w:rsidRPr="00517CD0">
        <w:rPr>
          <w:lang w:val="tr-TR"/>
        </w:rPr>
        <w:t xml:space="preserve"> gelişmemiştir. 5 yaşın altındaki hastalar için veri mevcut değildir.</w:t>
      </w:r>
    </w:p>
    <w:p w:rsidR="009A2AB4" w:rsidRPr="00517CD0" w:rsidRDefault="009A2AB4" w:rsidP="0050621D">
      <w:pPr>
        <w:widowControl w:val="0"/>
        <w:autoSpaceDE w:val="0"/>
        <w:autoSpaceDN w:val="0"/>
        <w:adjustRightInd w:val="0"/>
        <w:ind w:right="48"/>
        <w:jc w:val="both"/>
        <w:rPr>
          <w:i/>
          <w:lang w:val="tr-TR"/>
        </w:rPr>
      </w:pPr>
    </w:p>
    <w:p w:rsidR="009A2AB4" w:rsidRPr="00517CD0" w:rsidRDefault="009A2AB4" w:rsidP="0050621D">
      <w:pPr>
        <w:widowControl w:val="0"/>
        <w:autoSpaceDE w:val="0"/>
        <w:autoSpaceDN w:val="0"/>
        <w:adjustRightInd w:val="0"/>
        <w:ind w:right="48"/>
        <w:jc w:val="both"/>
        <w:rPr>
          <w:lang w:val="tr-TR"/>
        </w:rPr>
      </w:pPr>
      <w:r w:rsidRPr="00517CD0">
        <w:rPr>
          <w:lang w:val="tr-TR"/>
        </w:rPr>
        <w:t>Karaciğer yetmezliği:</w:t>
      </w:r>
    </w:p>
    <w:p w:rsidR="009A2AB4" w:rsidRPr="00517CD0" w:rsidRDefault="009A2AB4" w:rsidP="009A2AB4">
      <w:pPr>
        <w:autoSpaceDE w:val="0"/>
        <w:autoSpaceDN w:val="0"/>
        <w:adjustRightInd w:val="0"/>
        <w:jc w:val="both"/>
        <w:rPr>
          <w:lang w:val="tr-TR"/>
        </w:rPr>
      </w:pPr>
      <w:proofErr w:type="spellStart"/>
      <w:r w:rsidRPr="00517CD0">
        <w:rPr>
          <w:lang w:val="tr-TR"/>
        </w:rPr>
        <w:t>Parikalsitol</w:t>
      </w:r>
      <w:proofErr w:type="spellEnd"/>
      <w:r w:rsidRPr="00517CD0">
        <w:rPr>
          <w:lang w:val="tr-TR"/>
        </w:rPr>
        <w:t xml:space="preserve"> (0.24 mikrogram/kg) durumu hafif (n=5) ve orta şiddetli (n=5) </w:t>
      </w:r>
      <w:proofErr w:type="spellStart"/>
      <w:r w:rsidRPr="00517CD0">
        <w:rPr>
          <w:lang w:val="tr-TR"/>
        </w:rPr>
        <w:t>hepatik</w:t>
      </w:r>
      <w:proofErr w:type="spellEnd"/>
      <w:r w:rsidRPr="00517CD0">
        <w:rPr>
          <w:lang w:val="tr-TR"/>
        </w:rPr>
        <w:t xml:space="preserve"> bozukluğu (</w:t>
      </w:r>
      <w:proofErr w:type="spellStart"/>
      <w:r w:rsidRPr="00517CD0">
        <w:rPr>
          <w:lang w:val="tr-TR"/>
        </w:rPr>
        <w:t>Child</w:t>
      </w:r>
      <w:proofErr w:type="spellEnd"/>
      <w:r w:rsidRPr="00517CD0">
        <w:rPr>
          <w:lang w:val="tr-TR"/>
        </w:rPr>
        <w:t>-</w:t>
      </w:r>
      <w:proofErr w:type="spellStart"/>
      <w:r w:rsidRPr="00517CD0">
        <w:rPr>
          <w:lang w:val="tr-TR"/>
        </w:rPr>
        <w:t>Pugh</w:t>
      </w:r>
      <w:proofErr w:type="spellEnd"/>
      <w:r w:rsidRPr="00517CD0">
        <w:rPr>
          <w:lang w:val="tr-TR"/>
        </w:rPr>
        <w:t xml:space="preserve"> metodunda belirtildiği gibi) </w:t>
      </w:r>
      <w:r w:rsidR="003C73AB">
        <w:rPr>
          <w:lang w:val="tr-TR"/>
        </w:rPr>
        <w:t>o</w:t>
      </w:r>
      <w:r w:rsidRPr="00517CD0">
        <w:rPr>
          <w:lang w:val="tr-TR"/>
        </w:rPr>
        <w:t>lan hastalar ile normal karaciğer fonksiyonu (n=</w:t>
      </w:r>
      <w:r w:rsidR="000803D7">
        <w:rPr>
          <w:lang w:val="tr-TR"/>
        </w:rPr>
        <w:t xml:space="preserve">10) olanlarda karşılaştırıldı. </w:t>
      </w:r>
      <w:r w:rsidRPr="00517CD0">
        <w:rPr>
          <w:lang w:val="tr-TR"/>
        </w:rPr>
        <w:t xml:space="preserve">Bağlanmış durumdaki </w:t>
      </w:r>
      <w:proofErr w:type="spellStart"/>
      <w:r w:rsidRPr="00517CD0">
        <w:rPr>
          <w:lang w:val="tr-TR"/>
        </w:rPr>
        <w:t>parikalsitolün</w:t>
      </w:r>
      <w:proofErr w:type="spellEnd"/>
      <w:r w:rsidRPr="00517CD0">
        <w:rPr>
          <w:lang w:val="tr-TR"/>
        </w:rPr>
        <w:t xml:space="preserve"> farmakokinetiği bu çalışmada değerlendirilen karaciğer fonksiyon aralığı boyunca benzer niteliktedir.</w:t>
      </w:r>
    </w:p>
    <w:p w:rsidR="009A2AB4" w:rsidRPr="00517CD0" w:rsidRDefault="009A2AB4" w:rsidP="0050621D">
      <w:pPr>
        <w:widowControl w:val="0"/>
        <w:autoSpaceDE w:val="0"/>
        <w:autoSpaceDN w:val="0"/>
        <w:adjustRightInd w:val="0"/>
        <w:ind w:right="48"/>
        <w:jc w:val="both"/>
        <w:rPr>
          <w:i/>
          <w:lang w:val="tr-TR"/>
        </w:rPr>
      </w:pPr>
    </w:p>
    <w:p w:rsidR="009A2AB4" w:rsidRPr="00517CD0" w:rsidRDefault="009A2AB4" w:rsidP="009A2AB4">
      <w:pPr>
        <w:autoSpaceDE w:val="0"/>
        <w:autoSpaceDN w:val="0"/>
        <w:adjustRightInd w:val="0"/>
        <w:rPr>
          <w:lang w:val="tr-TR"/>
        </w:rPr>
      </w:pPr>
      <w:r w:rsidRPr="00517CD0">
        <w:rPr>
          <w:lang w:val="tr-TR"/>
        </w:rPr>
        <w:t>Böbrek yetmezliği:</w:t>
      </w:r>
    </w:p>
    <w:p w:rsidR="00763587" w:rsidRPr="00517CD0" w:rsidRDefault="009A2AB4" w:rsidP="00F37703">
      <w:pPr>
        <w:autoSpaceDE w:val="0"/>
        <w:autoSpaceDN w:val="0"/>
        <w:adjustRightInd w:val="0"/>
        <w:jc w:val="both"/>
        <w:rPr>
          <w:lang w:val="tr-TR"/>
        </w:rPr>
      </w:pPr>
      <w:proofErr w:type="spellStart"/>
      <w:r w:rsidRPr="00517CD0">
        <w:rPr>
          <w:lang w:val="tr-TR"/>
        </w:rPr>
        <w:t>Parikalsitol</w:t>
      </w:r>
      <w:proofErr w:type="spellEnd"/>
      <w:r w:rsidRPr="00517CD0">
        <w:rPr>
          <w:lang w:val="tr-TR"/>
        </w:rPr>
        <w:t xml:space="preserve"> farmakokinetiğ</w:t>
      </w:r>
      <w:r w:rsidR="0049262A" w:rsidRPr="00517CD0">
        <w:rPr>
          <w:lang w:val="tr-TR"/>
        </w:rPr>
        <w:t>i hemodiyaliz (HD) ve peri</w:t>
      </w:r>
      <w:r w:rsidRPr="00517CD0">
        <w:rPr>
          <w:lang w:val="tr-TR"/>
        </w:rPr>
        <w:t xml:space="preserve">ton </w:t>
      </w:r>
      <w:r w:rsidR="0049262A" w:rsidRPr="00517CD0">
        <w:rPr>
          <w:lang w:val="tr-TR"/>
        </w:rPr>
        <w:t xml:space="preserve">diyalizi (PD) gerektiren Kronik </w:t>
      </w:r>
      <w:r w:rsidRPr="00517CD0">
        <w:rPr>
          <w:lang w:val="tr-TR"/>
        </w:rPr>
        <w:t>B</w:t>
      </w:r>
      <w:r w:rsidR="0049262A" w:rsidRPr="00517CD0">
        <w:rPr>
          <w:lang w:val="tr-TR"/>
        </w:rPr>
        <w:t>ö</w:t>
      </w:r>
      <w:r w:rsidRPr="00517CD0">
        <w:rPr>
          <w:lang w:val="tr-TR"/>
        </w:rPr>
        <w:t>brek Yetmezli</w:t>
      </w:r>
      <w:r w:rsidR="0049262A" w:rsidRPr="00517CD0">
        <w:rPr>
          <w:lang w:val="tr-TR"/>
        </w:rPr>
        <w:t>ğ</w:t>
      </w:r>
      <w:r w:rsidRPr="00517CD0">
        <w:rPr>
          <w:lang w:val="tr-TR"/>
        </w:rPr>
        <w:t>i (KBY Evre 5) hastala</w:t>
      </w:r>
      <w:r w:rsidR="00F37703" w:rsidRPr="00517CD0">
        <w:rPr>
          <w:lang w:val="tr-TR"/>
        </w:rPr>
        <w:t>rın</w:t>
      </w:r>
      <w:r w:rsidRPr="00517CD0">
        <w:rPr>
          <w:lang w:val="tr-TR"/>
        </w:rPr>
        <w:t>da incelenmi</w:t>
      </w:r>
      <w:r w:rsidR="0049262A" w:rsidRPr="00517CD0">
        <w:rPr>
          <w:lang w:val="tr-TR"/>
        </w:rPr>
        <w:t>ş</w:t>
      </w:r>
      <w:r w:rsidRPr="00517CD0">
        <w:rPr>
          <w:lang w:val="tr-TR"/>
        </w:rPr>
        <w:t>tir. Hemodiyaliz i</w:t>
      </w:r>
      <w:r w:rsidR="0049262A" w:rsidRPr="00517CD0">
        <w:rPr>
          <w:lang w:val="tr-TR"/>
        </w:rPr>
        <w:t xml:space="preserve">şleminin </w:t>
      </w:r>
      <w:proofErr w:type="spellStart"/>
      <w:r w:rsidRPr="00517CD0">
        <w:rPr>
          <w:lang w:val="tr-TR"/>
        </w:rPr>
        <w:t>parikalsitol</w:t>
      </w:r>
      <w:proofErr w:type="spellEnd"/>
      <w:r w:rsidRPr="00517CD0">
        <w:rPr>
          <w:lang w:val="tr-TR"/>
        </w:rPr>
        <w:t xml:space="preserve"> eliminasyonu </w:t>
      </w:r>
      <w:r w:rsidR="0049262A" w:rsidRPr="00517CD0">
        <w:rPr>
          <w:lang w:val="tr-TR"/>
        </w:rPr>
        <w:t>ü</w:t>
      </w:r>
      <w:r w:rsidRPr="00517CD0">
        <w:rPr>
          <w:lang w:val="tr-TR"/>
        </w:rPr>
        <w:t>zerinde temel bir etkisi bulunmamaktad</w:t>
      </w:r>
      <w:r w:rsidR="0049262A" w:rsidRPr="00517CD0">
        <w:rPr>
          <w:lang w:val="tr-TR"/>
        </w:rPr>
        <w:t>ı</w:t>
      </w:r>
      <w:r w:rsidRPr="00517CD0">
        <w:rPr>
          <w:lang w:val="tr-TR"/>
        </w:rPr>
        <w:t>r. Fakat sa</w:t>
      </w:r>
      <w:r w:rsidR="0049262A" w:rsidRPr="00517CD0">
        <w:rPr>
          <w:lang w:val="tr-TR"/>
        </w:rPr>
        <w:t xml:space="preserve">ğlıklı </w:t>
      </w:r>
      <w:r w:rsidRPr="00517CD0">
        <w:rPr>
          <w:lang w:val="tr-TR"/>
        </w:rPr>
        <w:t xml:space="preserve">bireylerle </w:t>
      </w:r>
      <w:r w:rsidR="0049262A" w:rsidRPr="00517CD0">
        <w:rPr>
          <w:lang w:val="tr-TR"/>
        </w:rPr>
        <w:t>karşılaştırıldığında</w:t>
      </w:r>
      <w:r w:rsidRPr="00517CD0">
        <w:rPr>
          <w:lang w:val="tr-TR"/>
        </w:rPr>
        <w:t xml:space="preserve"> Kronik B</w:t>
      </w:r>
      <w:r w:rsidR="0049262A" w:rsidRPr="00517CD0">
        <w:rPr>
          <w:lang w:val="tr-TR"/>
        </w:rPr>
        <w:t>ö</w:t>
      </w:r>
      <w:r w:rsidRPr="00517CD0">
        <w:rPr>
          <w:lang w:val="tr-TR"/>
        </w:rPr>
        <w:t>brek Yetmezli</w:t>
      </w:r>
      <w:r w:rsidR="0049262A" w:rsidRPr="00517CD0">
        <w:rPr>
          <w:lang w:val="tr-TR"/>
        </w:rPr>
        <w:t>ğ</w:t>
      </w:r>
      <w:r w:rsidRPr="00517CD0">
        <w:rPr>
          <w:lang w:val="tr-TR"/>
        </w:rPr>
        <w:t>i (KBY Evre 5) hastala</w:t>
      </w:r>
      <w:r w:rsidR="0049262A" w:rsidRPr="00517CD0">
        <w:rPr>
          <w:lang w:val="tr-TR"/>
        </w:rPr>
        <w:t>rı</w:t>
      </w:r>
      <w:r w:rsidRPr="00517CD0">
        <w:rPr>
          <w:lang w:val="tr-TR"/>
        </w:rPr>
        <w:t xml:space="preserve"> azal</w:t>
      </w:r>
      <w:r w:rsidR="0049262A" w:rsidRPr="00517CD0">
        <w:rPr>
          <w:lang w:val="tr-TR"/>
        </w:rPr>
        <w:t xml:space="preserve">mış </w:t>
      </w:r>
      <w:proofErr w:type="spellStart"/>
      <w:r w:rsidRPr="00517CD0">
        <w:rPr>
          <w:lang w:val="tr-TR"/>
        </w:rPr>
        <w:t>kl</w:t>
      </w:r>
      <w:r w:rsidR="00AE1E20" w:rsidRPr="00517CD0">
        <w:rPr>
          <w:lang w:val="tr-TR"/>
        </w:rPr>
        <w:t>i</w:t>
      </w:r>
      <w:r w:rsidRPr="00517CD0">
        <w:rPr>
          <w:lang w:val="tr-TR"/>
        </w:rPr>
        <w:t>rens</w:t>
      </w:r>
      <w:proofErr w:type="spellEnd"/>
      <w:r w:rsidRPr="00517CD0">
        <w:rPr>
          <w:lang w:val="tr-TR"/>
        </w:rPr>
        <w:t xml:space="preserve"> (KL) ve artm</w:t>
      </w:r>
      <w:r w:rsidR="0049262A" w:rsidRPr="00517CD0">
        <w:rPr>
          <w:lang w:val="tr-TR"/>
        </w:rPr>
        <w:t>ış</w:t>
      </w:r>
      <w:r w:rsidRPr="00517CD0">
        <w:rPr>
          <w:lang w:val="tr-TR"/>
        </w:rPr>
        <w:t xml:space="preserve"> ya</w:t>
      </w:r>
      <w:r w:rsidR="0049262A" w:rsidRPr="00517CD0">
        <w:rPr>
          <w:lang w:val="tr-TR"/>
        </w:rPr>
        <w:t>rı</w:t>
      </w:r>
      <w:r w:rsidRPr="00517CD0">
        <w:rPr>
          <w:lang w:val="tr-TR"/>
        </w:rPr>
        <w:t xml:space="preserve"> </w:t>
      </w:r>
      <w:r w:rsidR="0049262A" w:rsidRPr="00517CD0">
        <w:rPr>
          <w:lang w:val="tr-TR"/>
        </w:rPr>
        <w:t>ömür göstermiştir.</w:t>
      </w:r>
    </w:p>
    <w:p w:rsidR="00763587" w:rsidRPr="00517CD0" w:rsidRDefault="00763587"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5.2. Farmakokinetik özellikler</w:t>
      </w:r>
    </w:p>
    <w:p w:rsidR="0050621D" w:rsidRPr="00517CD0" w:rsidRDefault="0050621D" w:rsidP="0050621D">
      <w:pPr>
        <w:widowControl w:val="0"/>
        <w:autoSpaceDE w:val="0"/>
        <w:autoSpaceDN w:val="0"/>
        <w:adjustRightInd w:val="0"/>
        <w:ind w:right="48"/>
        <w:jc w:val="both"/>
        <w:rPr>
          <w:sz w:val="16"/>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Genel özellikler</w:t>
      </w:r>
    </w:p>
    <w:p w:rsidR="0050621D" w:rsidRPr="00517CD0" w:rsidRDefault="0050621D" w:rsidP="0050621D">
      <w:pPr>
        <w:widowControl w:val="0"/>
        <w:autoSpaceDE w:val="0"/>
        <w:autoSpaceDN w:val="0"/>
        <w:adjustRightInd w:val="0"/>
        <w:ind w:right="48"/>
        <w:jc w:val="both"/>
        <w:rPr>
          <w:b/>
          <w:sz w:val="16"/>
          <w:lang w:val="tr-TR"/>
        </w:rPr>
      </w:pPr>
    </w:p>
    <w:p w:rsidR="0050621D" w:rsidRPr="00517CD0" w:rsidRDefault="0049262A" w:rsidP="0050621D">
      <w:pPr>
        <w:widowControl w:val="0"/>
        <w:autoSpaceDE w:val="0"/>
        <w:autoSpaceDN w:val="0"/>
        <w:adjustRightInd w:val="0"/>
        <w:ind w:right="48"/>
        <w:jc w:val="both"/>
        <w:rPr>
          <w:u w:val="single"/>
          <w:lang w:val="tr-TR"/>
        </w:rPr>
      </w:pPr>
      <w:r w:rsidRPr="00517CD0">
        <w:rPr>
          <w:u w:val="single"/>
          <w:lang w:val="tr-TR"/>
        </w:rPr>
        <w:t>Emilim:</w:t>
      </w:r>
    </w:p>
    <w:p w:rsidR="0050621D" w:rsidRPr="00517CD0" w:rsidRDefault="0049262A" w:rsidP="0050621D">
      <w:pPr>
        <w:widowControl w:val="0"/>
        <w:autoSpaceDE w:val="0"/>
        <w:autoSpaceDN w:val="0"/>
        <w:adjustRightInd w:val="0"/>
        <w:ind w:right="48"/>
        <w:jc w:val="both"/>
        <w:rPr>
          <w:lang w:val="tr-TR"/>
        </w:rPr>
      </w:pPr>
      <w:r w:rsidRPr="00517CD0">
        <w:rPr>
          <w:lang w:val="tr-TR"/>
        </w:rPr>
        <w:t>PARİKALSİ</w:t>
      </w:r>
      <w:r w:rsidR="00763587" w:rsidRPr="00517CD0">
        <w:rPr>
          <w:lang w:val="tr-TR"/>
        </w:rPr>
        <w:t>,</w:t>
      </w:r>
      <w:r w:rsidRPr="00517CD0">
        <w:rPr>
          <w:lang w:val="tr-TR"/>
        </w:rPr>
        <w:t xml:space="preserve"> IV </w:t>
      </w:r>
      <w:proofErr w:type="spellStart"/>
      <w:r w:rsidRPr="00517CD0">
        <w:rPr>
          <w:lang w:val="tr-TR"/>
        </w:rPr>
        <w:t>formülasyon</w:t>
      </w:r>
      <w:proofErr w:type="spellEnd"/>
      <w:r w:rsidRPr="00517CD0">
        <w:rPr>
          <w:lang w:val="tr-TR"/>
        </w:rPr>
        <w:t xml:space="preserve"> olduğundan geçerli değildir.</w:t>
      </w:r>
    </w:p>
    <w:p w:rsidR="0050621D" w:rsidRPr="00517CD0" w:rsidRDefault="0050621D" w:rsidP="0050621D">
      <w:pPr>
        <w:widowControl w:val="0"/>
        <w:autoSpaceDE w:val="0"/>
        <w:autoSpaceDN w:val="0"/>
        <w:adjustRightInd w:val="0"/>
        <w:ind w:right="48"/>
        <w:jc w:val="both"/>
        <w:rPr>
          <w:lang w:val="tr-TR"/>
        </w:rPr>
      </w:pPr>
      <w:r w:rsidRPr="00517CD0">
        <w:rPr>
          <w:u w:val="single"/>
          <w:lang w:val="tr-TR"/>
        </w:rPr>
        <w:lastRenderedPageBreak/>
        <w:t>Dağılım:</w:t>
      </w:r>
    </w:p>
    <w:p w:rsidR="0049262A" w:rsidRPr="00517CD0" w:rsidRDefault="0049262A" w:rsidP="0049262A">
      <w:pPr>
        <w:autoSpaceDE w:val="0"/>
        <w:autoSpaceDN w:val="0"/>
        <w:adjustRightInd w:val="0"/>
        <w:jc w:val="both"/>
        <w:rPr>
          <w:lang w:val="tr-TR"/>
        </w:rPr>
      </w:pPr>
      <w:proofErr w:type="spellStart"/>
      <w:r w:rsidRPr="00517CD0">
        <w:rPr>
          <w:lang w:val="tr-TR"/>
        </w:rPr>
        <w:t>Parikalsitolün</w:t>
      </w:r>
      <w:proofErr w:type="spellEnd"/>
      <w:r w:rsidRPr="00517CD0">
        <w:rPr>
          <w:lang w:val="tr-TR"/>
        </w:rPr>
        <w:t xml:space="preserve"> farmakokinetiği hemodiyaliz gereken Kronik Böbrek Yetmezliği (KBY) alan hastalarda araştırılmıştır. </w:t>
      </w:r>
      <w:r w:rsidR="00763587" w:rsidRPr="00517CD0">
        <w:rPr>
          <w:lang w:val="tr-TR"/>
        </w:rPr>
        <w:t>PARİKALSİ</w:t>
      </w:r>
      <w:r w:rsidRPr="00517CD0">
        <w:rPr>
          <w:lang w:val="tr-TR"/>
        </w:rPr>
        <w:t xml:space="preserve"> intravenöz </w:t>
      </w:r>
      <w:proofErr w:type="spellStart"/>
      <w:r w:rsidRPr="00517CD0">
        <w:rPr>
          <w:lang w:val="tr-TR"/>
        </w:rPr>
        <w:t>bolus</w:t>
      </w:r>
      <w:proofErr w:type="spellEnd"/>
      <w:r w:rsidRPr="00517CD0">
        <w:rPr>
          <w:lang w:val="tr-TR"/>
        </w:rPr>
        <w:t xml:space="preserve"> enjeksiyonla uygulanır. 0.04 ile 0.24 mikrogram/kg aras</w:t>
      </w:r>
      <w:r w:rsidR="00F37703" w:rsidRPr="00517CD0">
        <w:rPr>
          <w:lang w:val="tr-TR"/>
        </w:rPr>
        <w:t>ın</w:t>
      </w:r>
      <w:r w:rsidRPr="00517CD0">
        <w:rPr>
          <w:lang w:val="tr-TR"/>
        </w:rPr>
        <w:t xml:space="preserve">daki dozlarda verildikten iki saat sonra </w:t>
      </w:r>
      <w:proofErr w:type="spellStart"/>
      <w:r w:rsidRPr="00517CD0">
        <w:rPr>
          <w:lang w:val="tr-TR"/>
        </w:rPr>
        <w:t>parikalsitol</w:t>
      </w:r>
      <w:proofErr w:type="spellEnd"/>
      <w:r w:rsidRPr="00517CD0">
        <w:rPr>
          <w:lang w:val="tr-TR"/>
        </w:rPr>
        <w:t xml:space="preserve"> konsantrasyonları hızla düşer; ardından, </w:t>
      </w:r>
      <w:proofErr w:type="spellStart"/>
      <w:r w:rsidRPr="00517CD0">
        <w:rPr>
          <w:lang w:val="tr-TR"/>
        </w:rPr>
        <w:t>parikalsitol</w:t>
      </w:r>
      <w:proofErr w:type="spellEnd"/>
      <w:r w:rsidRPr="00517CD0">
        <w:rPr>
          <w:lang w:val="tr-TR"/>
        </w:rPr>
        <w:t xml:space="preserve"> konsantrasyonları yaklaşık 15 saatlik bir ortalama yarı-ömürle, </w:t>
      </w:r>
      <w:proofErr w:type="spellStart"/>
      <w:r w:rsidRPr="00517CD0">
        <w:rPr>
          <w:lang w:val="tr-TR"/>
        </w:rPr>
        <w:t>log</w:t>
      </w:r>
      <w:proofErr w:type="spellEnd"/>
      <w:r w:rsidRPr="00517CD0">
        <w:rPr>
          <w:lang w:val="tr-TR"/>
        </w:rPr>
        <w:t xml:space="preserve">-lineer biçimde düşme gösterir. Çoklu uygulama sonrası </w:t>
      </w:r>
      <w:proofErr w:type="spellStart"/>
      <w:r w:rsidRPr="00517CD0">
        <w:rPr>
          <w:lang w:val="tr-TR"/>
        </w:rPr>
        <w:t>parikalsitol</w:t>
      </w:r>
      <w:proofErr w:type="spellEnd"/>
      <w:r w:rsidRPr="00517CD0">
        <w:rPr>
          <w:lang w:val="tr-TR"/>
        </w:rPr>
        <w:t xml:space="preserve"> birikimi gözlenmemiştir.</w:t>
      </w:r>
    </w:p>
    <w:p w:rsidR="0049262A" w:rsidRPr="00517CD0" w:rsidRDefault="0049262A" w:rsidP="0049262A">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w:t>
      </w:r>
      <w:proofErr w:type="spellEnd"/>
      <w:r w:rsidRPr="00517CD0">
        <w:rPr>
          <w:lang w:val="tr-TR"/>
        </w:rPr>
        <w:t xml:space="preserve"> büyük ölçüde plazma proteinlerine bağlanır (&gt;% 99). Sağlıklı bireylerde sabit durum dağılım hacmi yaklaşık </w:t>
      </w:r>
      <w:proofErr w:type="gramStart"/>
      <w:r w:rsidRPr="00517CD0">
        <w:rPr>
          <w:lang w:val="tr-TR"/>
        </w:rPr>
        <w:t>23.8</w:t>
      </w:r>
      <w:proofErr w:type="gramEnd"/>
      <w:r w:rsidRPr="00517CD0">
        <w:rPr>
          <w:lang w:val="tr-TR"/>
        </w:rPr>
        <w:t xml:space="preserve"> </w:t>
      </w:r>
      <w:proofErr w:type="spellStart"/>
      <w:r w:rsidRPr="00517CD0">
        <w:rPr>
          <w:lang w:val="tr-TR"/>
        </w:rPr>
        <w:t>L’dir</w:t>
      </w:r>
      <w:proofErr w:type="spellEnd"/>
      <w:r w:rsidRPr="00517CD0">
        <w:rPr>
          <w:lang w:val="tr-TR"/>
        </w:rPr>
        <w:t xml:space="preserve">. Hemodiyaliz (HD) ve periton diyalizi (PD) gerektiren Kronik Böbrek Yetmezliği (KBY) Evre 5 hastalarında 0.24 </w:t>
      </w:r>
      <w:r w:rsidR="0049262A" w:rsidRPr="00517CD0">
        <w:rPr>
          <w:lang w:val="tr-TR"/>
        </w:rPr>
        <w:t>mikrogram</w:t>
      </w:r>
      <w:r w:rsidRPr="00517CD0">
        <w:rPr>
          <w:lang w:val="tr-TR"/>
        </w:rPr>
        <w:t xml:space="preserve">/kg </w:t>
      </w:r>
      <w:proofErr w:type="spellStart"/>
      <w:r w:rsidRPr="00517CD0">
        <w:rPr>
          <w:lang w:val="tr-TR"/>
        </w:rPr>
        <w:t>parikalsitol</w:t>
      </w:r>
      <w:proofErr w:type="spellEnd"/>
      <w:r w:rsidRPr="00517CD0">
        <w:rPr>
          <w:lang w:val="tr-TR"/>
        </w:rPr>
        <w:t xml:space="preserve"> dozunu takiben ortalama sanal dağılım hacmi 31 L – 35 L arasındadır.</w:t>
      </w:r>
    </w:p>
    <w:p w:rsidR="0050621D" w:rsidRPr="00517CD0" w:rsidRDefault="0050621D" w:rsidP="0050621D">
      <w:pPr>
        <w:widowControl w:val="0"/>
        <w:autoSpaceDE w:val="0"/>
        <w:autoSpaceDN w:val="0"/>
        <w:adjustRightInd w:val="0"/>
        <w:ind w:right="48"/>
        <w:jc w:val="both"/>
        <w:rPr>
          <w:lang w:val="tr-TR"/>
        </w:rPr>
      </w:pPr>
    </w:p>
    <w:p w:rsidR="0050621D" w:rsidRPr="00517CD0" w:rsidRDefault="0049262A" w:rsidP="0050621D">
      <w:pPr>
        <w:widowControl w:val="0"/>
        <w:autoSpaceDE w:val="0"/>
        <w:autoSpaceDN w:val="0"/>
        <w:adjustRightInd w:val="0"/>
        <w:ind w:right="48"/>
        <w:jc w:val="both"/>
        <w:rPr>
          <w:lang w:val="tr-TR"/>
        </w:rPr>
      </w:pPr>
      <w:r w:rsidRPr="00517CD0">
        <w:rPr>
          <w:u w:val="single"/>
          <w:lang w:val="tr-TR"/>
        </w:rPr>
        <w:t>Metabolizma:</w:t>
      </w:r>
    </w:p>
    <w:p w:rsidR="0049262A" w:rsidRPr="00517CD0" w:rsidRDefault="0050621D" w:rsidP="0050621D">
      <w:pPr>
        <w:widowControl w:val="0"/>
        <w:autoSpaceDE w:val="0"/>
        <w:autoSpaceDN w:val="0"/>
        <w:adjustRightInd w:val="0"/>
        <w:ind w:right="48"/>
        <w:jc w:val="both"/>
        <w:rPr>
          <w:lang w:val="tr-TR"/>
        </w:rPr>
      </w:pPr>
      <w:r w:rsidRPr="00517CD0">
        <w:rPr>
          <w:lang w:val="tr-TR"/>
        </w:rPr>
        <w:t xml:space="preserve">İdrar ve dışkıda bazı bilinmeyen metabolitler saptanırken, idrarda </w:t>
      </w:r>
      <w:proofErr w:type="spellStart"/>
      <w:r w:rsidRPr="00517CD0">
        <w:rPr>
          <w:lang w:val="tr-TR"/>
        </w:rPr>
        <w:t>parikalsitole</w:t>
      </w:r>
      <w:proofErr w:type="spellEnd"/>
      <w:r w:rsidRPr="00517CD0">
        <w:rPr>
          <w:lang w:val="tr-TR"/>
        </w:rPr>
        <w:t xml:space="preserve"> rastlanmamıştır. </w:t>
      </w:r>
      <w:r w:rsidR="0049262A" w:rsidRPr="00517CD0">
        <w:rPr>
          <w:lang w:val="tr-TR"/>
        </w:rPr>
        <w:t xml:space="preserve">Bu metabolitler karakterize edilmemiş ve tanımlanmamıştır. Bu metabolitlerin birlikte </w:t>
      </w:r>
      <w:proofErr w:type="spellStart"/>
      <w:r w:rsidR="0049262A" w:rsidRPr="00517CD0">
        <w:rPr>
          <w:lang w:val="tr-TR"/>
        </w:rPr>
        <w:t>üriner</w:t>
      </w:r>
      <w:proofErr w:type="spellEnd"/>
      <w:r w:rsidR="0049262A" w:rsidRPr="00517CD0">
        <w:rPr>
          <w:lang w:val="tr-TR"/>
        </w:rPr>
        <w:t xml:space="preserve"> radyoaktivitenin % 51’inde ve fetal radyoaktivitenin % 59’unda payı bulunmaktadır. </w:t>
      </w:r>
      <w:proofErr w:type="spellStart"/>
      <w:r w:rsidR="0049262A" w:rsidRPr="00517CD0">
        <w:rPr>
          <w:lang w:val="tr-TR"/>
        </w:rPr>
        <w:t>Parikalsitolün</w:t>
      </w:r>
      <w:proofErr w:type="spellEnd"/>
      <w:r w:rsidR="0049262A" w:rsidRPr="00517CD0">
        <w:rPr>
          <w:lang w:val="tr-TR"/>
        </w:rPr>
        <w:t xml:space="preserve"> in </w:t>
      </w:r>
      <w:proofErr w:type="spellStart"/>
      <w:r w:rsidR="0049262A" w:rsidRPr="00517CD0">
        <w:rPr>
          <w:lang w:val="tr-TR"/>
        </w:rPr>
        <w:t>vitro</w:t>
      </w:r>
      <w:proofErr w:type="spellEnd"/>
      <w:r w:rsidR="0049262A" w:rsidRPr="00517CD0">
        <w:rPr>
          <w:lang w:val="tr-TR"/>
        </w:rPr>
        <w:t xml:space="preserve"> plazma protein bağlanması</w:t>
      </w:r>
      <w:r w:rsidR="00590271" w:rsidRPr="00517CD0">
        <w:rPr>
          <w:lang w:val="tr-TR"/>
        </w:rPr>
        <w:t xml:space="preserve"> kapsamlıdır (&gt;  %</w:t>
      </w:r>
      <w:r w:rsidR="00763587" w:rsidRPr="00517CD0">
        <w:rPr>
          <w:lang w:val="tr-TR"/>
        </w:rPr>
        <w:t xml:space="preserve"> </w:t>
      </w:r>
      <w:r w:rsidR="009540F8" w:rsidRPr="00517CD0">
        <w:rPr>
          <w:lang w:val="tr-TR"/>
        </w:rPr>
        <w:t xml:space="preserve">99.9) ve 1 ila 100 </w:t>
      </w:r>
      <w:proofErr w:type="spellStart"/>
      <w:r w:rsidR="009540F8" w:rsidRPr="00517CD0">
        <w:rPr>
          <w:lang w:val="tr-TR"/>
        </w:rPr>
        <w:t>ng</w:t>
      </w:r>
      <w:proofErr w:type="spellEnd"/>
      <w:r w:rsidR="009540F8" w:rsidRPr="00517CD0">
        <w:rPr>
          <w:lang w:val="tr-TR"/>
        </w:rPr>
        <w:t>/mL</w:t>
      </w:r>
      <w:r w:rsidR="00590271" w:rsidRPr="00517CD0">
        <w:rPr>
          <w:lang w:val="tr-TR"/>
        </w:rPr>
        <w:t xml:space="preserve"> </w:t>
      </w:r>
      <w:proofErr w:type="gramStart"/>
      <w:r w:rsidR="00590271" w:rsidRPr="00517CD0">
        <w:rPr>
          <w:lang w:val="tr-TR"/>
        </w:rPr>
        <w:t>konsantrasyon</w:t>
      </w:r>
      <w:proofErr w:type="gramEnd"/>
      <w:r w:rsidR="00590271" w:rsidRPr="00517CD0">
        <w:rPr>
          <w:lang w:val="tr-TR"/>
        </w:rPr>
        <w:t xml:space="preserve"> aralığında doymamıştır.</w:t>
      </w:r>
    </w:p>
    <w:p w:rsidR="0049262A" w:rsidRPr="00517CD0" w:rsidRDefault="0049262A"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u w:val="single"/>
          <w:lang w:val="tr-TR"/>
        </w:rPr>
        <w:t>Eliminasyon:</w:t>
      </w: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w:t>
      </w:r>
      <w:proofErr w:type="spellEnd"/>
      <w:r w:rsidRPr="00517CD0">
        <w:rPr>
          <w:lang w:val="tr-TR"/>
        </w:rPr>
        <w:t xml:space="preserve"> </w:t>
      </w:r>
      <w:proofErr w:type="spellStart"/>
      <w:r w:rsidRPr="00517CD0">
        <w:rPr>
          <w:lang w:val="tr-TR"/>
        </w:rPr>
        <w:t>primer</w:t>
      </w:r>
      <w:proofErr w:type="spellEnd"/>
      <w:r w:rsidRPr="00517CD0">
        <w:rPr>
          <w:lang w:val="tr-TR"/>
        </w:rPr>
        <w:t xml:space="preserve"> olarak </w:t>
      </w:r>
      <w:proofErr w:type="spellStart"/>
      <w:r w:rsidRPr="00517CD0">
        <w:rPr>
          <w:lang w:val="tr-TR"/>
        </w:rPr>
        <w:t>hepatobiliyer</w:t>
      </w:r>
      <w:proofErr w:type="spellEnd"/>
      <w:r w:rsidRPr="00517CD0">
        <w:rPr>
          <w:lang w:val="tr-TR"/>
        </w:rPr>
        <w:t xml:space="preserve"> atılımla elimine edilir. Sağlıklı kişilerde radyoaktif dozun % </w:t>
      </w:r>
      <w:r w:rsidR="00590271" w:rsidRPr="00517CD0">
        <w:rPr>
          <w:lang w:val="tr-TR"/>
        </w:rPr>
        <w:t>74</w:t>
      </w:r>
      <w:r w:rsidRPr="00517CD0">
        <w:rPr>
          <w:lang w:val="tr-TR"/>
        </w:rPr>
        <w:t>’ü dışkıdan atılırken yalnızca % 1</w:t>
      </w:r>
      <w:r w:rsidR="00590271" w:rsidRPr="00517CD0">
        <w:rPr>
          <w:lang w:val="tr-TR"/>
        </w:rPr>
        <w:t>6</w:t>
      </w:r>
      <w:r w:rsidRPr="00517CD0">
        <w:rPr>
          <w:lang w:val="tr-TR"/>
        </w:rPr>
        <w:t>’</w:t>
      </w:r>
      <w:r w:rsidR="00590271" w:rsidRPr="00517CD0">
        <w:rPr>
          <w:lang w:val="tr-TR"/>
        </w:rPr>
        <w:t>sı</w:t>
      </w:r>
      <w:r w:rsidRPr="00517CD0">
        <w:rPr>
          <w:lang w:val="tr-TR"/>
        </w:rPr>
        <w:t xml:space="preserve"> idrarda bulunmuştu</w:t>
      </w:r>
      <w:r w:rsidR="00F37703" w:rsidRPr="00517CD0">
        <w:rPr>
          <w:lang w:val="tr-TR"/>
        </w:rPr>
        <w:t>r. Sağlıklı kişilerde 0.04-0.16</w:t>
      </w:r>
      <w:r w:rsidRPr="00517CD0">
        <w:rPr>
          <w:lang w:val="tr-TR"/>
        </w:rPr>
        <w:t xml:space="preserve"> </w:t>
      </w:r>
      <w:r w:rsidR="00590271" w:rsidRPr="00517CD0">
        <w:rPr>
          <w:lang w:val="tr-TR"/>
        </w:rPr>
        <w:t>mikrogram</w:t>
      </w:r>
      <w:r w:rsidRPr="00517CD0">
        <w:rPr>
          <w:lang w:val="tr-TR"/>
        </w:rPr>
        <w:t>/</w:t>
      </w:r>
      <w:proofErr w:type="spellStart"/>
      <w:r w:rsidRPr="00517CD0">
        <w:rPr>
          <w:lang w:val="tr-TR"/>
        </w:rPr>
        <w:t>kg’lık</w:t>
      </w:r>
      <w:proofErr w:type="spellEnd"/>
      <w:r w:rsidRPr="00517CD0">
        <w:rPr>
          <w:lang w:val="tr-TR"/>
        </w:rPr>
        <w:t xml:space="preserve"> doz aralığında </w:t>
      </w:r>
      <w:proofErr w:type="spellStart"/>
      <w:r w:rsidRPr="00517CD0">
        <w:rPr>
          <w:lang w:val="tr-TR"/>
        </w:rPr>
        <w:t>parikalsitolün</w:t>
      </w:r>
      <w:proofErr w:type="spellEnd"/>
      <w:r w:rsidRPr="00517CD0">
        <w:rPr>
          <w:lang w:val="tr-TR"/>
        </w:rPr>
        <w:t xml:space="preserve"> ortalama eliminasyon yarı ömrü yaklaşık 5-7 saattir.</w:t>
      </w:r>
    </w:p>
    <w:p w:rsidR="0050621D" w:rsidRPr="00517CD0" w:rsidRDefault="0050621D" w:rsidP="0050621D">
      <w:pPr>
        <w:widowControl w:val="0"/>
        <w:autoSpaceDE w:val="0"/>
        <w:autoSpaceDN w:val="0"/>
        <w:adjustRightInd w:val="0"/>
        <w:ind w:right="48"/>
        <w:jc w:val="both"/>
        <w:rPr>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7"/>
        <w:gridCol w:w="3181"/>
        <w:gridCol w:w="3542"/>
      </w:tblGrid>
      <w:tr w:rsidR="0050621D" w:rsidRPr="00517CD0" w:rsidTr="00D71382">
        <w:tc>
          <w:tcPr>
            <w:tcW w:w="0" w:type="auto"/>
            <w:gridSpan w:val="3"/>
          </w:tcPr>
          <w:p w:rsidR="0050621D" w:rsidRPr="00517CD0" w:rsidRDefault="0050621D" w:rsidP="00590271">
            <w:pPr>
              <w:widowControl w:val="0"/>
              <w:autoSpaceDE w:val="0"/>
              <w:autoSpaceDN w:val="0"/>
              <w:adjustRightInd w:val="0"/>
              <w:ind w:right="48"/>
              <w:jc w:val="center"/>
              <w:rPr>
                <w:b/>
                <w:lang w:val="tr-TR"/>
              </w:rPr>
            </w:pPr>
            <w:r w:rsidRPr="00517CD0">
              <w:rPr>
                <w:b/>
                <w:sz w:val="22"/>
                <w:szCs w:val="22"/>
                <w:lang w:val="tr-TR"/>
              </w:rPr>
              <w:t xml:space="preserve">Kronik Böbrek Yetmezliği (KBY) Evre 5 Hastalarında Tek 0.24 </w:t>
            </w:r>
            <w:r w:rsidR="00590271" w:rsidRPr="00517CD0">
              <w:rPr>
                <w:b/>
                <w:sz w:val="22"/>
                <w:szCs w:val="22"/>
                <w:lang w:val="tr-TR"/>
              </w:rPr>
              <w:t>mikrogram</w:t>
            </w:r>
            <w:r w:rsidRPr="00517CD0">
              <w:rPr>
                <w:b/>
                <w:sz w:val="22"/>
                <w:szCs w:val="22"/>
                <w:lang w:val="tr-TR"/>
              </w:rPr>
              <w:t xml:space="preserve">/kg IV </w:t>
            </w:r>
            <w:proofErr w:type="spellStart"/>
            <w:r w:rsidRPr="00517CD0">
              <w:rPr>
                <w:b/>
                <w:sz w:val="22"/>
                <w:szCs w:val="22"/>
                <w:lang w:val="tr-TR"/>
              </w:rPr>
              <w:t>Bolus</w:t>
            </w:r>
            <w:proofErr w:type="spellEnd"/>
            <w:r w:rsidRPr="00517CD0">
              <w:rPr>
                <w:b/>
                <w:sz w:val="22"/>
                <w:szCs w:val="22"/>
                <w:lang w:val="tr-TR"/>
              </w:rPr>
              <w:t xml:space="preserve"> Dozundan sonra </w:t>
            </w:r>
            <w:proofErr w:type="spellStart"/>
            <w:r w:rsidRPr="00517CD0">
              <w:rPr>
                <w:b/>
                <w:sz w:val="22"/>
                <w:szCs w:val="22"/>
                <w:lang w:val="tr-TR"/>
              </w:rPr>
              <w:t>Parikalsitol</w:t>
            </w:r>
            <w:proofErr w:type="spellEnd"/>
            <w:r w:rsidRPr="00517CD0">
              <w:rPr>
                <w:b/>
                <w:sz w:val="22"/>
                <w:szCs w:val="22"/>
                <w:lang w:val="tr-TR"/>
              </w:rPr>
              <w:t xml:space="preserve"> Farmakokinetik Parametreleri (Ortalama ± SD)</w:t>
            </w:r>
          </w:p>
        </w:tc>
      </w:tr>
      <w:tr w:rsidR="0050621D" w:rsidRPr="00517CD0" w:rsidTr="00D71382">
        <w:tc>
          <w:tcPr>
            <w:tcW w:w="0" w:type="auto"/>
          </w:tcPr>
          <w:p w:rsidR="0050621D" w:rsidRPr="00517CD0" w:rsidRDefault="0050621D" w:rsidP="00D71382">
            <w:pPr>
              <w:widowControl w:val="0"/>
              <w:autoSpaceDE w:val="0"/>
              <w:autoSpaceDN w:val="0"/>
              <w:adjustRightInd w:val="0"/>
              <w:ind w:right="48"/>
              <w:jc w:val="both"/>
              <w:rPr>
                <w:lang w:val="tr-TR"/>
              </w:rPr>
            </w:pP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KBY Evre 5 - Hemodiyaliz</w:t>
            </w:r>
          </w:p>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(n=14)</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 xml:space="preserve">KBY Evre 5 - </w:t>
            </w:r>
            <w:proofErr w:type="spellStart"/>
            <w:r w:rsidRPr="00517CD0">
              <w:rPr>
                <w:sz w:val="22"/>
                <w:szCs w:val="22"/>
                <w:lang w:val="tr-TR"/>
              </w:rPr>
              <w:t>Peritonal</w:t>
            </w:r>
            <w:proofErr w:type="spellEnd"/>
            <w:r w:rsidRPr="00517CD0">
              <w:rPr>
                <w:sz w:val="22"/>
                <w:szCs w:val="22"/>
                <w:lang w:val="tr-TR"/>
              </w:rPr>
              <w:t xml:space="preserve"> Diyalizi</w:t>
            </w:r>
          </w:p>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(n=8)</w:t>
            </w:r>
          </w:p>
        </w:tc>
      </w:tr>
      <w:tr w:rsidR="0050621D" w:rsidRPr="00517CD0" w:rsidTr="00D71382">
        <w:tc>
          <w:tcPr>
            <w:tcW w:w="0" w:type="auto"/>
          </w:tcPr>
          <w:p w:rsidR="0050621D" w:rsidRPr="00517CD0" w:rsidRDefault="0050621D" w:rsidP="009540F8">
            <w:pPr>
              <w:widowControl w:val="0"/>
              <w:autoSpaceDE w:val="0"/>
              <w:autoSpaceDN w:val="0"/>
              <w:adjustRightInd w:val="0"/>
              <w:ind w:right="48"/>
              <w:jc w:val="both"/>
              <w:rPr>
                <w:lang w:val="tr-TR"/>
              </w:rPr>
            </w:pPr>
            <w:r w:rsidRPr="00517CD0">
              <w:rPr>
                <w:sz w:val="22"/>
                <w:szCs w:val="22"/>
                <w:lang w:val="tr-TR"/>
              </w:rPr>
              <w:t>C</w:t>
            </w:r>
            <w:r w:rsidRPr="00517CD0">
              <w:rPr>
                <w:sz w:val="22"/>
                <w:szCs w:val="22"/>
                <w:vertAlign w:val="subscript"/>
                <w:lang w:val="tr-TR"/>
              </w:rPr>
              <w:t>ma</w:t>
            </w:r>
            <w:r w:rsidR="00590271" w:rsidRPr="00517CD0">
              <w:rPr>
                <w:sz w:val="22"/>
                <w:szCs w:val="22"/>
                <w:vertAlign w:val="subscript"/>
                <w:lang w:val="tr-TR"/>
              </w:rPr>
              <w:t>ks</w:t>
            </w:r>
            <w:r w:rsidRPr="00517CD0">
              <w:rPr>
                <w:sz w:val="22"/>
                <w:szCs w:val="22"/>
                <w:lang w:val="tr-TR"/>
              </w:rPr>
              <w:t xml:space="preserve"> (</w:t>
            </w:r>
            <w:proofErr w:type="spellStart"/>
            <w:r w:rsidRPr="00517CD0">
              <w:rPr>
                <w:sz w:val="22"/>
                <w:szCs w:val="22"/>
                <w:lang w:val="tr-TR"/>
              </w:rPr>
              <w:t>ng</w:t>
            </w:r>
            <w:proofErr w:type="spellEnd"/>
            <w:r w:rsidRPr="00517CD0">
              <w:rPr>
                <w:sz w:val="22"/>
                <w:szCs w:val="22"/>
                <w:lang w:val="tr-TR"/>
              </w:rPr>
              <w:t>/m</w:t>
            </w:r>
            <w:r w:rsidR="009540F8" w:rsidRPr="00517CD0">
              <w:rPr>
                <w:sz w:val="22"/>
                <w:szCs w:val="22"/>
                <w:lang w:val="tr-TR"/>
              </w:rPr>
              <w:t>L</w:t>
            </w:r>
            <w:r w:rsidRPr="00517CD0">
              <w:rPr>
                <w:sz w:val="22"/>
                <w:szCs w:val="22"/>
                <w:lang w:val="tr-TR"/>
              </w:rPr>
              <w:t>)</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1.680±0.511</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1.832±0.315</w:t>
            </w:r>
          </w:p>
        </w:tc>
      </w:tr>
      <w:tr w:rsidR="0050621D" w:rsidRPr="00517CD0" w:rsidTr="00D71382">
        <w:tc>
          <w:tcPr>
            <w:tcW w:w="0" w:type="auto"/>
          </w:tcPr>
          <w:p w:rsidR="0050621D" w:rsidRPr="00517CD0" w:rsidRDefault="0050621D" w:rsidP="009540F8">
            <w:pPr>
              <w:widowControl w:val="0"/>
              <w:autoSpaceDE w:val="0"/>
              <w:autoSpaceDN w:val="0"/>
              <w:adjustRightInd w:val="0"/>
              <w:ind w:right="48"/>
              <w:jc w:val="both"/>
              <w:rPr>
                <w:lang w:val="tr-TR"/>
              </w:rPr>
            </w:pPr>
            <w:r w:rsidRPr="00517CD0">
              <w:rPr>
                <w:sz w:val="22"/>
                <w:szCs w:val="22"/>
                <w:lang w:val="tr-TR"/>
              </w:rPr>
              <w:t>EAA0-∞ (</w:t>
            </w:r>
            <w:proofErr w:type="spellStart"/>
            <w:r w:rsidRPr="00517CD0">
              <w:rPr>
                <w:sz w:val="22"/>
                <w:szCs w:val="22"/>
                <w:lang w:val="tr-TR"/>
              </w:rPr>
              <w:t>ng</w:t>
            </w:r>
            <w:proofErr w:type="spellEnd"/>
            <w:r w:rsidRPr="00517CD0">
              <w:rPr>
                <w:rFonts w:ascii="Cambria Math" w:hAnsi="Cambria Math" w:cs="Cambria Math"/>
                <w:sz w:val="22"/>
                <w:szCs w:val="22"/>
                <w:lang w:val="tr-TR"/>
              </w:rPr>
              <w:t>⋅</w:t>
            </w:r>
            <w:r w:rsidRPr="00517CD0">
              <w:rPr>
                <w:sz w:val="22"/>
                <w:szCs w:val="22"/>
                <w:lang w:val="tr-TR"/>
              </w:rPr>
              <w:t>h/m</w:t>
            </w:r>
            <w:r w:rsidR="009540F8" w:rsidRPr="00517CD0">
              <w:rPr>
                <w:sz w:val="22"/>
                <w:szCs w:val="22"/>
                <w:lang w:val="tr-TR"/>
              </w:rPr>
              <w:t>L</w:t>
            </w:r>
            <w:r w:rsidRPr="00517CD0">
              <w:rPr>
                <w:sz w:val="22"/>
                <w:szCs w:val="22"/>
                <w:lang w:val="tr-TR"/>
              </w:rPr>
              <w:t>)</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14.51±4.12</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16.01±5.98</w:t>
            </w:r>
          </w:p>
        </w:tc>
      </w:tr>
      <w:tr w:rsidR="0050621D" w:rsidRPr="00517CD0" w:rsidTr="00D71382">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β (1/h)</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0.050±0.023</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0.045±0.026</w:t>
            </w:r>
          </w:p>
        </w:tc>
      </w:tr>
      <w:tr w:rsidR="0050621D" w:rsidRPr="00517CD0" w:rsidTr="00D71382">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t</w:t>
            </w:r>
            <w:r w:rsidRPr="00517CD0">
              <w:rPr>
                <w:sz w:val="22"/>
                <w:szCs w:val="22"/>
                <w:vertAlign w:val="subscript"/>
                <w:lang w:val="tr-TR"/>
              </w:rPr>
              <w:t xml:space="preserve">1/2 </w:t>
            </w:r>
            <w:r w:rsidRPr="00517CD0">
              <w:rPr>
                <w:sz w:val="22"/>
                <w:szCs w:val="22"/>
                <w:lang w:val="tr-TR"/>
              </w:rPr>
              <w:t>(h)</w:t>
            </w:r>
            <w:r w:rsidRPr="00517CD0">
              <w:rPr>
                <w:sz w:val="22"/>
                <w:szCs w:val="22"/>
                <w:vertAlign w:val="superscript"/>
                <w:lang w:val="tr-TR"/>
              </w:rPr>
              <w:t>*</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13.9±</w:t>
            </w:r>
            <w:proofErr w:type="gramStart"/>
            <w:r w:rsidRPr="00517CD0">
              <w:rPr>
                <w:sz w:val="22"/>
                <w:szCs w:val="22"/>
                <w:lang w:val="tr-TR"/>
              </w:rPr>
              <w:t>7.3</w:t>
            </w:r>
            <w:proofErr w:type="gramEnd"/>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15.4±</w:t>
            </w:r>
            <w:proofErr w:type="gramStart"/>
            <w:r w:rsidRPr="00517CD0">
              <w:rPr>
                <w:sz w:val="22"/>
                <w:szCs w:val="22"/>
                <w:lang w:val="tr-TR"/>
              </w:rPr>
              <w:t>10.5</w:t>
            </w:r>
            <w:proofErr w:type="gramEnd"/>
          </w:p>
        </w:tc>
      </w:tr>
      <w:tr w:rsidR="0050621D" w:rsidRPr="00517CD0" w:rsidTr="00D71382">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KL (l/h)</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1.49±0.60</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1.54±0.95</w:t>
            </w:r>
          </w:p>
        </w:tc>
      </w:tr>
      <w:tr w:rsidR="0050621D" w:rsidRPr="00517CD0" w:rsidTr="00D71382">
        <w:tc>
          <w:tcPr>
            <w:tcW w:w="0" w:type="auto"/>
          </w:tcPr>
          <w:p w:rsidR="0050621D" w:rsidRPr="00517CD0" w:rsidRDefault="0050621D" w:rsidP="00D71382">
            <w:pPr>
              <w:widowControl w:val="0"/>
              <w:autoSpaceDE w:val="0"/>
              <w:autoSpaceDN w:val="0"/>
              <w:adjustRightInd w:val="0"/>
              <w:ind w:right="48"/>
              <w:jc w:val="both"/>
              <w:rPr>
                <w:lang w:val="tr-TR"/>
              </w:rPr>
            </w:pPr>
            <w:proofErr w:type="spellStart"/>
            <w:r w:rsidRPr="00517CD0">
              <w:rPr>
                <w:sz w:val="22"/>
                <w:szCs w:val="22"/>
                <w:lang w:val="tr-TR"/>
              </w:rPr>
              <w:t>Vd</w:t>
            </w:r>
            <w:r w:rsidRPr="00517CD0">
              <w:rPr>
                <w:sz w:val="22"/>
                <w:szCs w:val="22"/>
                <w:vertAlign w:val="subscript"/>
                <w:lang w:val="tr-TR"/>
              </w:rPr>
              <w:t>β</w:t>
            </w:r>
            <w:proofErr w:type="spellEnd"/>
            <w:r w:rsidRPr="00517CD0">
              <w:rPr>
                <w:sz w:val="22"/>
                <w:szCs w:val="22"/>
                <w:lang w:val="tr-TR"/>
              </w:rPr>
              <w:t xml:space="preserve"> (l)</w:t>
            </w:r>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30.8±</w:t>
            </w:r>
            <w:proofErr w:type="gramStart"/>
            <w:r w:rsidRPr="00517CD0">
              <w:rPr>
                <w:sz w:val="22"/>
                <w:szCs w:val="22"/>
                <w:lang w:val="tr-TR"/>
              </w:rPr>
              <w:t>7.5</w:t>
            </w:r>
            <w:proofErr w:type="gramEnd"/>
          </w:p>
        </w:tc>
        <w:tc>
          <w:tcPr>
            <w:tcW w:w="0" w:type="auto"/>
          </w:tcPr>
          <w:p w:rsidR="0050621D" w:rsidRPr="00517CD0" w:rsidRDefault="0050621D" w:rsidP="00D71382">
            <w:pPr>
              <w:widowControl w:val="0"/>
              <w:autoSpaceDE w:val="0"/>
              <w:autoSpaceDN w:val="0"/>
              <w:adjustRightInd w:val="0"/>
              <w:ind w:right="48"/>
              <w:jc w:val="both"/>
              <w:rPr>
                <w:lang w:val="tr-TR"/>
              </w:rPr>
            </w:pPr>
            <w:r w:rsidRPr="00517CD0">
              <w:rPr>
                <w:sz w:val="22"/>
                <w:szCs w:val="22"/>
                <w:lang w:val="tr-TR"/>
              </w:rPr>
              <w:t>34.9±</w:t>
            </w:r>
            <w:proofErr w:type="gramStart"/>
            <w:r w:rsidRPr="00517CD0">
              <w:rPr>
                <w:sz w:val="22"/>
                <w:szCs w:val="22"/>
                <w:lang w:val="tr-TR"/>
              </w:rPr>
              <w:t>9.5</w:t>
            </w:r>
            <w:proofErr w:type="gramEnd"/>
          </w:p>
        </w:tc>
      </w:tr>
    </w:tbl>
    <w:p w:rsidR="0050621D" w:rsidRPr="00517CD0" w:rsidRDefault="0050621D" w:rsidP="0050621D">
      <w:pPr>
        <w:widowControl w:val="0"/>
        <w:autoSpaceDE w:val="0"/>
        <w:autoSpaceDN w:val="0"/>
        <w:adjustRightInd w:val="0"/>
        <w:ind w:right="48"/>
        <w:jc w:val="both"/>
        <w:rPr>
          <w:sz w:val="22"/>
          <w:szCs w:val="22"/>
          <w:lang w:val="tr-TR"/>
        </w:rPr>
      </w:pPr>
      <w:r w:rsidRPr="00517CD0">
        <w:rPr>
          <w:sz w:val="22"/>
          <w:szCs w:val="22"/>
          <w:vertAlign w:val="superscript"/>
          <w:lang w:val="tr-TR"/>
        </w:rPr>
        <w:t xml:space="preserve">* </w:t>
      </w:r>
      <w:proofErr w:type="spellStart"/>
      <w:r w:rsidRPr="00517CD0">
        <w:rPr>
          <w:sz w:val="22"/>
          <w:szCs w:val="22"/>
          <w:lang w:val="tr-TR"/>
        </w:rPr>
        <w:t>harmonik</w:t>
      </w:r>
      <w:proofErr w:type="spellEnd"/>
      <w:r w:rsidRPr="00517CD0">
        <w:rPr>
          <w:sz w:val="22"/>
          <w:szCs w:val="22"/>
          <w:lang w:val="tr-TR"/>
        </w:rPr>
        <w:t xml:space="preserve"> ortalama ± </w:t>
      </w:r>
      <w:proofErr w:type="spellStart"/>
      <w:r w:rsidRPr="00517CD0">
        <w:rPr>
          <w:sz w:val="22"/>
          <w:szCs w:val="22"/>
          <w:lang w:val="tr-TR"/>
        </w:rPr>
        <w:t>psödo</w:t>
      </w:r>
      <w:proofErr w:type="spellEnd"/>
      <w:r w:rsidRPr="00517CD0">
        <w:rPr>
          <w:sz w:val="22"/>
          <w:szCs w:val="22"/>
          <w:lang w:val="tr-TR"/>
        </w:rPr>
        <w:t xml:space="preserve"> standart sapma</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Hastalardaki karakteristik özellikler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b/>
          <w:lang w:val="tr-TR"/>
        </w:rPr>
        <w:t>Geriyatrik</w:t>
      </w:r>
      <w:proofErr w:type="spellEnd"/>
      <w:r w:rsidRPr="00517CD0">
        <w:rPr>
          <w:b/>
          <w:lang w:val="tr-TR"/>
        </w:rPr>
        <w:t>:</w:t>
      </w:r>
      <w:r w:rsidR="00590271" w:rsidRPr="00517CD0">
        <w:rPr>
          <w:lang w:val="tr-TR"/>
        </w:rPr>
        <w:t xml:space="preserve"> </w:t>
      </w:r>
      <w:proofErr w:type="spellStart"/>
      <w:r w:rsidRPr="00517CD0">
        <w:rPr>
          <w:lang w:val="tr-TR"/>
        </w:rPr>
        <w:t>Parikalsitol</w:t>
      </w:r>
      <w:proofErr w:type="spellEnd"/>
      <w:r w:rsidRPr="00517CD0">
        <w:rPr>
          <w:lang w:val="tr-TR"/>
        </w:rPr>
        <w:t xml:space="preserve"> farmakokinetiği 65 yaşın üzerindeki geriyatrik hastalarda araştırılmamıştır.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b/>
          <w:lang w:val="tr-TR"/>
        </w:rPr>
        <w:t>Pediyatrik</w:t>
      </w:r>
      <w:proofErr w:type="spellEnd"/>
      <w:r w:rsidRPr="00517CD0">
        <w:rPr>
          <w:b/>
          <w:lang w:val="tr-TR"/>
        </w:rPr>
        <w:t>:</w:t>
      </w:r>
      <w:r w:rsidR="00590271" w:rsidRPr="00517CD0">
        <w:rPr>
          <w:lang w:val="tr-TR"/>
        </w:rPr>
        <w:t xml:space="preserve"> </w:t>
      </w:r>
      <w:proofErr w:type="spellStart"/>
      <w:r w:rsidRPr="00517CD0">
        <w:rPr>
          <w:lang w:val="tr-TR"/>
        </w:rPr>
        <w:t>Parikalsitol</w:t>
      </w:r>
      <w:proofErr w:type="spellEnd"/>
      <w:r w:rsidRPr="00517CD0">
        <w:rPr>
          <w:lang w:val="tr-TR"/>
        </w:rPr>
        <w:t xml:space="preserve"> farmakokinetiği 18 yaşın altındaki pediyatrik hastalarda araştırılmamıştır.</w:t>
      </w:r>
    </w:p>
    <w:p w:rsidR="0050621D" w:rsidRPr="00517CD0" w:rsidRDefault="0050621D" w:rsidP="0050621D">
      <w:pPr>
        <w:widowControl w:val="0"/>
        <w:autoSpaceDE w:val="0"/>
        <w:autoSpaceDN w:val="0"/>
        <w:adjustRightInd w:val="0"/>
        <w:ind w:right="48"/>
        <w:jc w:val="both"/>
        <w:rPr>
          <w:b/>
          <w:lang w:val="tr-TR"/>
        </w:rPr>
      </w:pPr>
    </w:p>
    <w:p w:rsidR="0050621D" w:rsidRPr="00517CD0" w:rsidRDefault="0050621D" w:rsidP="0050621D">
      <w:pPr>
        <w:widowControl w:val="0"/>
        <w:autoSpaceDE w:val="0"/>
        <w:autoSpaceDN w:val="0"/>
        <w:adjustRightInd w:val="0"/>
        <w:ind w:right="48"/>
        <w:jc w:val="both"/>
        <w:rPr>
          <w:lang w:val="tr-TR"/>
        </w:rPr>
      </w:pPr>
      <w:r w:rsidRPr="00517CD0">
        <w:rPr>
          <w:b/>
          <w:lang w:val="tr-TR"/>
        </w:rPr>
        <w:t>Cinsiyet:</w:t>
      </w:r>
      <w:r w:rsidRPr="00517CD0">
        <w:rPr>
          <w:lang w:val="tr-TR"/>
        </w:rPr>
        <w:t xml:space="preserve"> </w:t>
      </w:r>
      <w:proofErr w:type="spellStart"/>
      <w:r w:rsidRPr="00517CD0">
        <w:rPr>
          <w:lang w:val="tr-TR"/>
        </w:rPr>
        <w:t>Parikalsitol</w:t>
      </w:r>
      <w:proofErr w:type="spellEnd"/>
      <w:r w:rsidRPr="00517CD0">
        <w:rPr>
          <w:lang w:val="tr-TR"/>
        </w:rPr>
        <w:t xml:space="preserve"> farmakokinetiği cinsiyete bağlı değildir.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5.3. Klinik öncesi güvenlilik verileri</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CD-1 farelerindeki 104-haftalık bir </w:t>
      </w:r>
      <w:proofErr w:type="spellStart"/>
      <w:r w:rsidR="005455E0">
        <w:rPr>
          <w:lang w:val="tr-TR"/>
        </w:rPr>
        <w:t>karsinojenisite</w:t>
      </w:r>
      <w:proofErr w:type="spellEnd"/>
      <w:r w:rsidR="005455E0">
        <w:rPr>
          <w:lang w:val="tr-TR"/>
        </w:rPr>
        <w:t xml:space="preserve"> çalışmasında, 1, 3, </w:t>
      </w:r>
      <w:r w:rsidR="00590271" w:rsidRPr="00517CD0">
        <w:rPr>
          <w:lang w:val="tr-TR"/>
        </w:rPr>
        <w:t>10 mikrogram</w:t>
      </w:r>
      <w:r w:rsidRPr="00517CD0">
        <w:rPr>
          <w:lang w:val="tr-TR"/>
        </w:rPr>
        <w:t xml:space="preserve">/kg </w:t>
      </w:r>
      <w:r w:rsidRPr="00517CD0">
        <w:rPr>
          <w:lang w:val="tr-TR"/>
        </w:rPr>
        <w:lastRenderedPageBreak/>
        <w:t>dozlarında  (</w:t>
      </w:r>
      <w:r w:rsidR="00590271" w:rsidRPr="00517CD0">
        <w:rPr>
          <w:lang w:val="tr-TR"/>
        </w:rPr>
        <w:t>14 mikrogramlık</w:t>
      </w:r>
      <w:r w:rsidRPr="00517CD0">
        <w:rPr>
          <w:lang w:val="tr-TR"/>
        </w:rPr>
        <w:t xml:space="preserve"> insan dozundaki </w:t>
      </w:r>
      <w:proofErr w:type="spellStart"/>
      <w:r w:rsidRPr="00517CD0">
        <w:rPr>
          <w:lang w:val="tr-TR"/>
        </w:rPr>
        <w:t>EAA’nin</w:t>
      </w:r>
      <w:proofErr w:type="spellEnd"/>
      <w:r w:rsidRPr="00517CD0">
        <w:rPr>
          <w:lang w:val="tr-TR"/>
        </w:rPr>
        <w:t xml:space="preserve"> 2-15 katı,  0.</w:t>
      </w:r>
      <w:r w:rsidR="00C73F18" w:rsidRPr="00517CD0">
        <w:rPr>
          <w:lang w:val="tr-TR"/>
        </w:rPr>
        <w:t>24 mikrogram</w:t>
      </w:r>
      <w:r w:rsidR="00590271" w:rsidRPr="00517CD0">
        <w:rPr>
          <w:lang w:val="tr-TR"/>
        </w:rPr>
        <w:t>/</w:t>
      </w:r>
      <w:proofErr w:type="spellStart"/>
      <w:r w:rsidR="00590271" w:rsidRPr="00517CD0">
        <w:rPr>
          <w:lang w:val="tr-TR"/>
        </w:rPr>
        <w:t>kg</w:t>
      </w:r>
      <w:r w:rsidRPr="00517CD0">
        <w:rPr>
          <w:lang w:val="tr-TR"/>
        </w:rPr>
        <w:t>’a</w:t>
      </w:r>
      <w:proofErr w:type="spellEnd"/>
      <w:r w:rsidRPr="00517CD0">
        <w:rPr>
          <w:lang w:val="tr-TR"/>
        </w:rPr>
        <w:t xml:space="preserve"> eşdeğer dozlarda) </w:t>
      </w:r>
      <w:proofErr w:type="spellStart"/>
      <w:r w:rsidRPr="00517CD0">
        <w:rPr>
          <w:lang w:val="tr-TR"/>
        </w:rPr>
        <w:t>subkutan</w:t>
      </w:r>
      <w:proofErr w:type="spellEnd"/>
      <w:r w:rsidRPr="00517CD0">
        <w:rPr>
          <w:lang w:val="tr-TR"/>
        </w:rPr>
        <w:t xml:space="preserve"> yoldan verildiğinde, </w:t>
      </w:r>
      <w:proofErr w:type="spellStart"/>
      <w:r w:rsidRPr="00517CD0">
        <w:rPr>
          <w:lang w:val="tr-TR"/>
        </w:rPr>
        <w:t>uterus</w:t>
      </w:r>
      <w:proofErr w:type="spellEnd"/>
      <w:r w:rsidRPr="00517CD0">
        <w:rPr>
          <w:lang w:val="tr-TR"/>
        </w:rPr>
        <w:t xml:space="preserve"> </w:t>
      </w:r>
      <w:proofErr w:type="spellStart"/>
      <w:r w:rsidRPr="00517CD0">
        <w:rPr>
          <w:lang w:val="tr-TR"/>
        </w:rPr>
        <w:t>leiyomyoma</w:t>
      </w:r>
      <w:proofErr w:type="spellEnd"/>
      <w:r w:rsidRPr="00517CD0">
        <w:rPr>
          <w:lang w:val="tr-TR"/>
        </w:rPr>
        <w:t xml:space="preserve"> ve </w:t>
      </w:r>
      <w:proofErr w:type="spellStart"/>
      <w:r w:rsidRPr="00517CD0">
        <w:rPr>
          <w:lang w:val="tr-TR"/>
        </w:rPr>
        <w:t>leiyomyosarkom</w:t>
      </w:r>
      <w:proofErr w:type="spellEnd"/>
      <w:r w:rsidRPr="00517CD0">
        <w:rPr>
          <w:lang w:val="tr-TR"/>
        </w:rPr>
        <w:t xml:space="preserve"> </w:t>
      </w:r>
      <w:proofErr w:type="spellStart"/>
      <w:r w:rsidRPr="00517CD0">
        <w:rPr>
          <w:lang w:val="tr-TR"/>
        </w:rPr>
        <w:t>insidansında</w:t>
      </w:r>
      <w:proofErr w:type="spellEnd"/>
      <w:r w:rsidRPr="00517CD0">
        <w:rPr>
          <w:lang w:val="tr-TR"/>
        </w:rPr>
        <w:t xml:space="preserve"> bir artış gözlemlenmiştir. </w:t>
      </w:r>
      <w:proofErr w:type="spellStart"/>
      <w:r w:rsidRPr="00517CD0">
        <w:rPr>
          <w:lang w:val="tr-TR"/>
        </w:rPr>
        <w:t>Uterus</w:t>
      </w:r>
      <w:proofErr w:type="spellEnd"/>
      <w:r w:rsidRPr="00517CD0">
        <w:rPr>
          <w:lang w:val="tr-TR"/>
        </w:rPr>
        <w:t xml:space="preserve"> </w:t>
      </w:r>
      <w:proofErr w:type="spellStart"/>
      <w:r w:rsidRPr="00517CD0">
        <w:rPr>
          <w:lang w:val="tr-TR"/>
        </w:rPr>
        <w:t>leiyomyoma</w:t>
      </w:r>
      <w:proofErr w:type="spellEnd"/>
      <w:r w:rsidRPr="00517CD0">
        <w:rPr>
          <w:lang w:val="tr-TR"/>
        </w:rPr>
        <w:t xml:space="preserve"> </w:t>
      </w:r>
      <w:proofErr w:type="spellStart"/>
      <w:r w:rsidRPr="00517CD0">
        <w:rPr>
          <w:lang w:val="tr-TR"/>
        </w:rPr>
        <w:t>insidansı</w:t>
      </w:r>
      <w:proofErr w:type="spellEnd"/>
      <w:r w:rsidRPr="00517CD0">
        <w:rPr>
          <w:lang w:val="tr-TR"/>
        </w:rPr>
        <w:t xml:space="preserve"> oranı, en yüksek doz olan 10 </w:t>
      </w:r>
      <w:r w:rsidR="00590271" w:rsidRPr="00517CD0">
        <w:rPr>
          <w:lang w:val="tr-TR"/>
        </w:rPr>
        <w:t xml:space="preserve">mikrogram/kg </w:t>
      </w:r>
      <w:r w:rsidRPr="00517CD0">
        <w:rPr>
          <w:lang w:val="tr-TR"/>
        </w:rPr>
        <w:t>dozunda anlamlı ölçüde farklıdır.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Sıçanlarda yapılan 104-haftalık bir </w:t>
      </w:r>
      <w:proofErr w:type="spellStart"/>
      <w:r w:rsidRPr="00517CD0">
        <w:rPr>
          <w:lang w:val="tr-TR"/>
        </w:rPr>
        <w:t>karsinojenisite</w:t>
      </w:r>
      <w:proofErr w:type="spellEnd"/>
      <w:r w:rsidRPr="00517CD0">
        <w:rPr>
          <w:lang w:val="tr-TR"/>
        </w:rPr>
        <w:t xml:space="preserve"> çalışmasında, 0.15, </w:t>
      </w:r>
      <w:proofErr w:type="gramStart"/>
      <w:r w:rsidRPr="00517CD0">
        <w:rPr>
          <w:lang w:val="tr-TR"/>
        </w:rPr>
        <w:t>0.5</w:t>
      </w:r>
      <w:proofErr w:type="gramEnd"/>
      <w:r w:rsidRPr="00517CD0">
        <w:rPr>
          <w:lang w:val="tr-TR"/>
        </w:rPr>
        <w:t xml:space="preserve">, 1.5 </w:t>
      </w:r>
      <w:r w:rsidR="00590271" w:rsidRPr="00517CD0">
        <w:rPr>
          <w:lang w:val="tr-TR"/>
        </w:rPr>
        <w:t xml:space="preserve">mikrogram/kg </w:t>
      </w:r>
      <w:r w:rsidRPr="00517CD0">
        <w:rPr>
          <w:lang w:val="tr-TR"/>
        </w:rPr>
        <w:t>[14</w:t>
      </w:r>
      <w:r w:rsidR="00590271" w:rsidRPr="00517CD0">
        <w:rPr>
          <w:lang w:val="tr-TR"/>
        </w:rPr>
        <w:t xml:space="preserve"> mikrogram/</w:t>
      </w:r>
      <w:proofErr w:type="spellStart"/>
      <w:r w:rsidR="00590271" w:rsidRPr="00517CD0">
        <w:rPr>
          <w:lang w:val="tr-TR"/>
        </w:rPr>
        <w:t>kg</w:t>
      </w:r>
      <w:r w:rsidRPr="00517CD0">
        <w:rPr>
          <w:lang w:val="tr-TR"/>
        </w:rPr>
        <w:t>’lık</w:t>
      </w:r>
      <w:proofErr w:type="spellEnd"/>
      <w:r w:rsidRPr="00517CD0">
        <w:rPr>
          <w:lang w:val="tr-TR"/>
        </w:rPr>
        <w:t xml:space="preserve"> (0.24 </w:t>
      </w:r>
      <w:r w:rsidR="00590271" w:rsidRPr="00517CD0">
        <w:rPr>
          <w:lang w:val="tr-TR"/>
        </w:rPr>
        <w:t>mikrogram/kg</w:t>
      </w:r>
      <w:r w:rsidRPr="00517CD0">
        <w:rPr>
          <w:lang w:val="tr-TR"/>
        </w:rPr>
        <w:t xml:space="preserve">) insan dozunun </w:t>
      </w:r>
      <w:proofErr w:type="spellStart"/>
      <w:r w:rsidRPr="00517CD0">
        <w:rPr>
          <w:lang w:val="tr-TR"/>
        </w:rPr>
        <w:t>EAA’sının</w:t>
      </w:r>
      <w:proofErr w:type="spellEnd"/>
      <w:r w:rsidRPr="00517CD0">
        <w:rPr>
          <w:lang w:val="tr-TR"/>
        </w:rPr>
        <w:t xml:space="preserve"> &lt;1 – 7 katı] </w:t>
      </w:r>
      <w:proofErr w:type="spellStart"/>
      <w:r w:rsidRPr="00517CD0">
        <w:rPr>
          <w:lang w:val="tr-TR"/>
        </w:rPr>
        <w:t>subkutan</w:t>
      </w:r>
      <w:proofErr w:type="spellEnd"/>
      <w:r w:rsidRPr="00517CD0">
        <w:rPr>
          <w:lang w:val="tr-TR"/>
        </w:rPr>
        <w:t xml:space="preserve"> dozlarında </w:t>
      </w:r>
      <w:proofErr w:type="spellStart"/>
      <w:r w:rsidRPr="00517CD0">
        <w:rPr>
          <w:lang w:val="tr-TR"/>
        </w:rPr>
        <w:t>benign</w:t>
      </w:r>
      <w:proofErr w:type="spellEnd"/>
      <w:r w:rsidRPr="00517CD0">
        <w:rPr>
          <w:lang w:val="tr-TR"/>
        </w:rPr>
        <w:t xml:space="preserve"> adrenal </w:t>
      </w:r>
      <w:proofErr w:type="spellStart"/>
      <w:r w:rsidRPr="00517CD0">
        <w:rPr>
          <w:lang w:val="tr-TR"/>
        </w:rPr>
        <w:t>feokromositoma</w:t>
      </w:r>
      <w:proofErr w:type="spellEnd"/>
      <w:r w:rsidRPr="00517CD0">
        <w:rPr>
          <w:lang w:val="tr-TR"/>
        </w:rPr>
        <w:t xml:space="preserve"> </w:t>
      </w:r>
      <w:proofErr w:type="spellStart"/>
      <w:r w:rsidRPr="00517CD0">
        <w:rPr>
          <w:lang w:val="tr-TR"/>
        </w:rPr>
        <w:t>insindansında</w:t>
      </w:r>
      <w:proofErr w:type="spellEnd"/>
      <w:r w:rsidRPr="00517CD0">
        <w:rPr>
          <w:lang w:val="tr-TR"/>
        </w:rPr>
        <w:t xml:space="preserve"> bir artış olmuştur. Sıçanlarda artmış </w:t>
      </w:r>
      <w:proofErr w:type="spellStart"/>
      <w:r w:rsidRPr="00517CD0">
        <w:rPr>
          <w:lang w:val="tr-TR"/>
        </w:rPr>
        <w:t>feokromositoma</w:t>
      </w:r>
      <w:proofErr w:type="spellEnd"/>
      <w:r w:rsidRPr="00517CD0">
        <w:rPr>
          <w:lang w:val="tr-TR"/>
        </w:rPr>
        <w:t xml:space="preserve"> </w:t>
      </w:r>
      <w:proofErr w:type="spellStart"/>
      <w:r w:rsidRPr="00517CD0">
        <w:rPr>
          <w:lang w:val="tr-TR"/>
        </w:rPr>
        <w:t>insidansı</w:t>
      </w:r>
      <w:proofErr w:type="spellEnd"/>
      <w:r w:rsidRPr="00517CD0">
        <w:rPr>
          <w:lang w:val="tr-TR"/>
        </w:rPr>
        <w:t xml:space="preserve">, </w:t>
      </w:r>
      <w:proofErr w:type="spellStart"/>
      <w:r w:rsidRPr="00517CD0">
        <w:rPr>
          <w:lang w:val="tr-TR"/>
        </w:rPr>
        <w:t>parikalsitolün</w:t>
      </w:r>
      <w:proofErr w:type="spellEnd"/>
      <w:r w:rsidRPr="00517CD0">
        <w:rPr>
          <w:lang w:val="tr-TR"/>
        </w:rPr>
        <w:t xml:space="preserve"> kalsiyum </w:t>
      </w:r>
      <w:proofErr w:type="spellStart"/>
      <w:r w:rsidRPr="00517CD0">
        <w:rPr>
          <w:lang w:val="tr-TR"/>
        </w:rPr>
        <w:t>homeostazını</w:t>
      </w:r>
      <w:proofErr w:type="spellEnd"/>
      <w:r w:rsidRPr="00517CD0">
        <w:rPr>
          <w:lang w:val="tr-TR"/>
        </w:rPr>
        <w:t xml:space="preserve"> değiştirmesiyle ilgili olabilir.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Kemirgen ve köpeklerdeki doz tekrarlı toksikoloji çalışmalarındaki belli başlı bulgular genellikle </w:t>
      </w:r>
      <w:proofErr w:type="spellStart"/>
      <w:r w:rsidRPr="00517CD0">
        <w:rPr>
          <w:lang w:val="tr-TR"/>
        </w:rPr>
        <w:t>parikalsitolün</w:t>
      </w:r>
      <w:proofErr w:type="spellEnd"/>
      <w:r w:rsidRPr="00517CD0">
        <w:rPr>
          <w:lang w:val="tr-TR"/>
        </w:rPr>
        <w:t xml:space="preserve"> </w:t>
      </w:r>
      <w:proofErr w:type="spellStart"/>
      <w:r w:rsidRPr="00517CD0">
        <w:rPr>
          <w:lang w:val="tr-TR"/>
        </w:rPr>
        <w:t>kalsemik</w:t>
      </w:r>
      <w:proofErr w:type="spellEnd"/>
      <w:r w:rsidRPr="00517CD0">
        <w:rPr>
          <w:lang w:val="tr-TR"/>
        </w:rPr>
        <w:t xml:space="preserve"> aktivitesine atfedilmekteydi.  </w:t>
      </w:r>
      <w:proofErr w:type="spellStart"/>
      <w:r w:rsidRPr="00517CD0">
        <w:rPr>
          <w:lang w:val="tr-TR"/>
        </w:rPr>
        <w:t>Hiperkalsemi</w:t>
      </w:r>
      <w:proofErr w:type="spellEnd"/>
      <w:r w:rsidRPr="00517CD0">
        <w:rPr>
          <w:lang w:val="tr-TR"/>
        </w:rPr>
        <w:t xml:space="preserve"> ile tam olarak ilişkili olmayan etkiler arasında, köpeklerde düşük akyuvar sayımları ve </w:t>
      </w:r>
      <w:proofErr w:type="spellStart"/>
      <w:r w:rsidRPr="00517CD0">
        <w:rPr>
          <w:lang w:val="tr-TR"/>
        </w:rPr>
        <w:t>timik</w:t>
      </w:r>
      <w:proofErr w:type="spellEnd"/>
      <w:r w:rsidRPr="00517CD0">
        <w:rPr>
          <w:lang w:val="tr-TR"/>
        </w:rPr>
        <w:t xml:space="preserve"> </w:t>
      </w:r>
      <w:proofErr w:type="spellStart"/>
      <w:r w:rsidRPr="00517CD0">
        <w:rPr>
          <w:lang w:val="tr-TR"/>
        </w:rPr>
        <w:t>atrofi</w:t>
      </w:r>
      <w:proofErr w:type="spellEnd"/>
      <w:r w:rsidRPr="00517CD0">
        <w:rPr>
          <w:lang w:val="tr-TR"/>
        </w:rPr>
        <w:t>, ayrıca APTT değerlerinde bozulmalar (köpeklerde yüksek, sıçanlarda düşük) bulunmaktadır.</w:t>
      </w:r>
    </w:p>
    <w:p w:rsidR="0050621D" w:rsidRPr="00517CD0" w:rsidRDefault="0050621D" w:rsidP="0050621D">
      <w:pPr>
        <w:widowControl w:val="0"/>
        <w:autoSpaceDE w:val="0"/>
        <w:autoSpaceDN w:val="0"/>
        <w:adjustRightInd w:val="0"/>
        <w:ind w:right="48"/>
        <w:jc w:val="both"/>
        <w:rPr>
          <w:lang w:val="tr-TR"/>
        </w:rPr>
      </w:pPr>
    </w:p>
    <w:p w:rsidR="00590271"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Parikalsitolün</w:t>
      </w:r>
      <w:proofErr w:type="spellEnd"/>
      <w:r w:rsidRPr="00517CD0">
        <w:rPr>
          <w:lang w:val="tr-TR"/>
        </w:rPr>
        <w:t xml:space="preserve"> klinik çalışmalarında beyaz kan hücrelerinde değişiklikler saptanmamıştır. </w:t>
      </w:r>
    </w:p>
    <w:p w:rsidR="00590271" w:rsidRPr="00517CD0" w:rsidRDefault="00590271"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w:t>
      </w:r>
      <w:proofErr w:type="spellEnd"/>
      <w:r w:rsidRPr="00517CD0">
        <w:rPr>
          <w:lang w:val="tr-TR"/>
        </w:rPr>
        <w:t xml:space="preserve"> sıçanlarda </w:t>
      </w:r>
      <w:proofErr w:type="spellStart"/>
      <w:r w:rsidRPr="00517CD0">
        <w:rPr>
          <w:lang w:val="tr-TR"/>
        </w:rPr>
        <w:t>fertiliteyi</w:t>
      </w:r>
      <w:proofErr w:type="spellEnd"/>
      <w:r w:rsidRPr="00517CD0">
        <w:rPr>
          <w:lang w:val="tr-TR"/>
        </w:rPr>
        <w:t xml:space="preserve"> etkilememiştir ve sıçanlarda veya tavşanlarda </w:t>
      </w:r>
      <w:proofErr w:type="spellStart"/>
      <w:r w:rsidRPr="00517CD0">
        <w:rPr>
          <w:lang w:val="tr-TR"/>
        </w:rPr>
        <w:t>teratojenik</w:t>
      </w:r>
      <w:proofErr w:type="spellEnd"/>
      <w:r w:rsidRPr="00517CD0">
        <w:rPr>
          <w:lang w:val="tr-TR"/>
        </w:rPr>
        <w:t xml:space="preserve"> aktivite kanıtı bulunmamıştır. Hayvanlarda gebelik süresince uygulanan diğer vitamin D preparatlarının yüksek dozları </w:t>
      </w:r>
      <w:proofErr w:type="spellStart"/>
      <w:r w:rsidRPr="00517CD0">
        <w:rPr>
          <w:lang w:val="tr-TR"/>
        </w:rPr>
        <w:t>teratojenize</w:t>
      </w:r>
      <w:proofErr w:type="spellEnd"/>
      <w:r w:rsidRPr="00517CD0">
        <w:rPr>
          <w:lang w:val="tr-TR"/>
        </w:rPr>
        <w:t xml:space="preserve"> yol açmıştır. </w:t>
      </w:r>
      <w:proofErr w:type="spellStart"/>
      <w:r w:rsidRPr="00517CD0">
        <w:rPr>
          <w:lang w:val="tr-TR"/>
        </w:rPr>
        <w:t>Parikalsitol</w:t>
      </w:r>
      <w:proofErr w:type="spellEnd"/>
      <w:r w:rsidRPr="00517CD0">
        <w:rPr>
          <w:lang w:val="tr-TR"/>
        </w:rPr>
        <w:t xml:space="preserve">, </w:t>
      </w:r>
      <w:proofErr w:type="spellStart"/>
      <w:r w:rsidRPr="00517CD0">
        <w:rPr>
          <w:lang w:val="tr-TR"/>
        </w:rPr>
        <w:t>maternal</w:t>
      </w:r>
      <w:proofErr w:type="spellEnd"/>
      <w:r w:rsidRPr="00517CD0">
        <w:rPr>
          <w:lang w:val="tr-TR"/>
        </w:rPr>
        <w:t xml:space="preserve"> toksik dozlarda alındığında fetal yaşanabilirliği etkilemektedir ve yeni doğan sıçanlarda peri- </w:t>
      </w:r>
      <w:proofErr w:type="spellStart"/>
      <w:r w:rsidRPr="00517CD0">
        <w:rPr>
          <w:lang w:val="tr-TR"/>
        </w:rPr>
        <w:t>natal</w:t>
      </w:r>
      <w:proofErr w:type="spellEnd"/>
      <w:r w:rsidRPr="00517CD0">
        <w:rPr>
          <w:lang w:val="tr-TR"/>
        </w:rPr>
        <w:t xml:space="preserve"> ve post-</w:t>
      </w:r>
      <w:proofErr w:type="spellStart"/>
      <w:r w:rsidRPr="00517CD0">
        <w:rPr>
          <w:lang w:val="tr-TR"/>
        </w:rPr>
        <w:t>natal</w:t>
      </w:r>
      <w:proofErr w:type="spellEnd"/>
      <w:r w:rsidRPr="00517CD0">
        <w:rPr>
          <w:lang w:val="tr-TR"/>
        </w:rPr>
        <w:t xml:space="preserve"> </w:t>
      </w:r>
      <w:proofErr w:type="spellStart"/>
      <w:r w:rsidRPr="00517CD0">
        <w:rPr>
          <w:lang w:val="tr-TR"/>
        </w:rPr>
        <w:t>mortalitede</w:t>
      </w:r>
      <w:proofErr w:type="spellEnd"/>
      <w:r w:rsidRPr="00517CD0">
        <w:rPr>
          <w:lang w:val="tr-TR"/>
        </w:rPr>
        <w:t xml:space="preserve"> belirgin bir artışa neden olmaktadır.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w:t>
      </w:r>
      <w:proofErr w:type="spellEnd"/>
      <w:r w:rsidRPr="00517CD0">
        <w:rPr>
          <w:lang w:val="tr-TR"/>
        </w:rPr>
        <w:t xml:space="preserve">, bir takım </w:t>
      </w:r>
      <w:r w:rsidRPr="00517CD0">
        <w:rPr>
          <w:i/>
          <w:lang w:val="tr-TR"/>
        </w:rPr>
        <w:t>in-</w:t>
      </w:r>
      <w:proofErr w:type="spellStart"/>
      <w:r w:rsidRPr="00517CD0">
        <w:rPr>
          <w:i/>
          <w:lang w:val="tr-TR"/>
        </w:rPr>
        <w:t>vivo</w:t>
      </w:r>
      <w:proofErr w:type="spellEnd"/>
      <w:r w:rsidRPr="00517CD0">
        <w:rPr>
          <w:lang w:val="tr-TR"/>
        </w:rPr>
        <w:t xml:space="preserve"> ve </w:t>
      </w:r>
      <w:r w:rsidRPr="00517CD0">
        <w:rPr>
          <w:i/>
          <w:lang w:val="tr-TR"/>
        </w:rPr>
        <w:t>in-</w:t>
      </w:r>
      <w:proofErr w:type="spellStart"/>
      <w:r w:rsidRPr="00517CD0">
        <w:rPr>
          <w:i/>
          <w:lang w:val="tr-TR"/>
        </w:rPr>
        <w:t>vitro</w:t>
      </w:r>
      <w:proofErr w:type="spellEnd"/>
      <w:r w:rsidRPr="00517CD0">
        <w:rPr>
          <w:i/>
          <w:lang w:val="tr-TR"/>
        </w:rPr>
        <w:t xml:space="preserve"> </w:t>
      </w:r>
      <w:proofErr w:type="spellStart"/>
      <w:r w:rsidRPr="00517CD0">
        <w:rPr>
          <w:lang w:val="tr-TR"/>
        </w:rPr>
        <w:t>genotoksisite</w:t>
      </w:r>
      <w:proofErr w:type="spellEnd"/>
      <w:r w:rsidRPr="00517CD0">
        <w:rPr>
          <w:lang w:val="tr-TR"/>
        </w:rPr>
        <w:t xml:space="preserve"> miktar tayininde </w:t>
      </w:r>
      <w:proofErr w:type="spellStart"/>
      <w:r w:rsidRPr="00517CD0">
        <w:rPr>
          <w:lang w:val="tr-TR"/>
        </w:rPr>
        <w:t>genotoksik</w:t>
      </w:r>
      <w:proofErr w:type="spellEnd"/>
      <w:r w:rsidRPr="00517CD0">
        <w:rPr>
          <w:lang w:val="tr-TR"/>
        </w:rPr>
        <w:t xml:space="preserve"> potansiyel göstermemiştir.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Kemirgenlerdeki </w:t>
      </w:r>
      <w:proofErr w:type="spellStart"/>
      <w:r w:rsidRPr="00517CD0">
        <w:rPr>
          <w:lang w:val="tr-TR"/>
        </w:rPr>
        <w:t>karsinogenez</w:t>
      </w:r>
      <w:proofErr w:type="spellEnd"/>
      <w:r w:rsidRPr="00517CD0">
        <w:rPr>
          <w:lang w:val="tr-TR"/>
        </w:rPr>
        <w:t xml:space="preserve"> çalışmaları insanlardaki kullanıma ilişkin özel bir risk göstermemiştir.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w:t>
      </w:r>
      <w:proofErr w:type="spellEnd"/>
      <w:r w:rsidRPr="00517CD0">
        <w:rPr>
          <w:lang w:val="tr-TR"/>
        </w:rPr>
        <w:t xml:space="preserve"> uygulanan dozlar ve/veya </w:t>
      </w:r>
      <w:proofErr w:type="spellStart"/>
      <w:r w:rsidRPr="00517CD0">
        <w:rPr>
          <w:lang w:val="tr-TR"/>
        </w:rPr>
        <w:t>parikalsitole</w:t>
      </w:r>
      <w:proofErr w:type="spellEnd"/>
      <w:r w:rsidRPr="00517CD0">
        <w:rPr>
          <w:lang w:val="tr-TR"/>
        </w:rPr>
        <w:t xml:space="preserve"> sistemik </w:t>
      </w:r>
      <w:proofErr w:type="spellStart"/>
      <w:r w:rsidRPr="00517CD0">
        <w:rPr>
          <w:lang w:val="tr-TR"/>
        </w:rPr>
        <w:t>maruziyet</w:t>
      </w:r>
      <w:proofErr w:type="spellEnd"/>
      <w:r w:rsidRPr="00517CD0">
        <w:rPr>
          <w:lang w:val="tr-TR"/>
        </w:rPr>
        <w:t xml:space="preserve">, </w:t>
      </w:r>
      <w:proofErr w:type="spellStart"/>
      <w:r w:rsidRPr="00517CD0">
        <w:rPr>
          <w:lang w:val="tr-TR"/>
        </w:rPr>
        <w:t>terapötik</w:t>
      </w:r>
      <w:proofErr w:type="spellEnd"/>
      <w:r w:rsidRPr="00517CD0">
        <w:rPr>
          <w:lang w:val="tr-TR"/>
        </w:rPr>
        <w:t xml:space="preserve"> dozlar/sistemik </w:t>
      </w:r>
      <w:proofErr w:type="spellStart"/>
      <w:r w:rsidRPr="00517CD0">
        <w:rPr>
          <w:lang w:val="tr-TR"/>
        </w:rPr>
        <w:t>maruziyetten</w:t>
      </w:r>
      <w:proofErr w:type="spellEnd"/>
      <w:r w:rsidRPr="00517CD0">
        <w:rPr>
          <w:lang w:val="tr-TR"/>
        </w:rPr>
        <w:t xml:space="preserve"> biraz daha fazlaydı.</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Parikalsitolün</w:t>
      </w:r>
      <w:proofErr w:type="spellEnd"/>
      <w:r w:rsidRPr="00517CD0">
        <w:rPr>
          <w:lang w:val="tr-TR"/>
        </w:rPr>
        <w:t xml:space="preserve"> vücut yüzeyine göre [m</w:t>
      </w:r>
      <w:r w:rsidR="00590271" w:rsidRPr="00517CD0">
        <w:rPr>
          <w:lang w:val="tr-TR"/>
        </w:rPr>
        <w:t>c</w:t>
      </w:r>
      <w:r w:rsidRPr="00517CD0">
        <w:rPr>
          <w:lang w:val="tr-TR"/>
        </w:rPr>
        <w:t>g/m</w:t>
      </w:r>
      <w:r w:rsidRPr="00517CD0">
        <w:rPr>
          <w:vertAlign w:val="superscript"/>
          <w:lang w:val="tr-TR"/>
        </w:rPr>
        <w:t>2</w:t>
      </w:r>
      <w:r w:rsidR="00590271" w:rsidRPr="00517CD0">
        <w:rPr>
          <w:lang w:val="tr-TR"/>
        </w:rPr>
        <w:t>] insanda önerilen (14 mikrogram</w:t>
      </w:r>
      <w:r w:rsidRPr="00517CD0">
        <w:rPr>
          <w:lang w:val="tr-TR"/>
        </w:rPr>
        <w:t xml:space="preserve">-0.24 </w:t>
      </w:r>
      <w:r w:rsidR="00590271" w:rsidRPr="00517CD0">
        <w:rPr>
          <w:lang w:val="tr-TR"/>
        </w:rPr>
        <w:t>mikrogram</w:t>
      </w:r>
      <w:r w:rsidRPr="00517CD0">
        <w:rPr>
          <w:lang w:val="tr-TR"/>
        </w:rPr>
        <w:t xml:space="preserve">/kg) dozun 13 katına eşdeğer olan 20 </w:t>
      </w:r>
      <w:r w:rsidR="00590271" w:rsidRPr="00517CD0">
        <w:rPr>
          <w:lang w:val="tr-TR"/>
        </w:rPr>
        <w:t>mikrogram</w:t>
      </w:r>
      <w:r w:rsidRPr="00517CD0">
        <w:rPr>
          <w:lang w:val="tr-TR"/>
        </w:rPr>
        <w:t>/kg intravenöz dozunda sıçanlarda fertilite (erkek veya dişi) üzerinde etkisi yoktur.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Parikalsitolün</w:t>
      </w:r>
      <w:proofErr w:type="spellEnd"/>
      <w:r w:rsidRPr="00517CD0">
        <w:rPr>
          <w:lang w:val="tr-TR"/>
        </w:rPr>
        <w:t xml:space="preserve"> vücut yüzeyine göre [m</w:t>
      </w:r>
      <w:r w:rsidR="00590271" w:rsidRPr="00517CD0">
        <w:rPr>
          <w:lang w:val="tr-TR"/>
        </w:rPr>
        <w:t>c</w:t>
      </w:r>
      <w:r w:rsidRPr="00517CD0">
        <w:rPr>
          <w:lang w:val="tr-TR"/>
        </w:rPr>
        <w:t>g/m</w:t>
      </w:r>
      <w:r w:rsidRPr="00517CD0">
        <w:rPr>
          <w:vertAlign w:val="superscript"/>
          <w:lang w:val="tr-TR"/>
        </w:rPr>
        <w:t>2</w:t>
      </w:r>
      <w:r w:rsidRPr="00517CD0">
        <w:rPr>
          <w:lang w:val="tr-TR"/>
        </w:rPr>
        <w:t xml:space="preserve">] insanda önerilen 0.24 </w:t>
      </w:r>
      <w:r w:rsidR="00590271" w:rsidRPr="00517CD0">
        <w:rPr>
          <w:lang w:val="tr-TR"/>
        </w:rPr>
        <w:t>mikrogram</w:t>
      </w:r>
      <w:r w:rsidRPr="00517CD0">
        <w:rPr>
          <w:lang w:val="tr-TR"/>
        </w:rPr>
        <w:t xml:space="preserve">/kg dozun </w:t>
      </w:r>
      <w:proofErr w:type="gramStart"/>
      <w:r w:rsidRPr="00517CD0">
        <w:rPr>
          <w:lang w:val="tr-TR"/>
        </w:rPr>
        <w:t>0.5</w:t>
      </w:r>
      <w:proofErr w:type="gramEnd"/>
      <w:r w:rsidRPr="00517CD0">
        <w:rPr>
          <w:lang w:val="tr-TR"/>
        </w:rPr>
        <w:t xml:space="preserve"> katına eşdeğer olan dozda tavşanlara ve insanda önerilen 0.24 </w:t>
      </w:r>
      <w:r w:rsidR="00590271" w:rsidRPr="00517CD0">
        <w:rPr>
          <w:lang w:val="tr-TR"/>
        </w:rPr>
        <w:t>mikrogram</w:t>
      </w:r>
      <w:r w:rsidRPr="00517CD0">
        <w:rPr>
          <w:lang w:val="tr-TR"/>
        </w:rPr>
        <w:t xml:space="preserve">/kg dozun (maruziyetin plazma düzeylerine göre) 2 katına eşdeğer olan dozda sıçanlara verildiğinde fetal </w:t>
      </w:r>
      <w:proofErr w:type="spellStart"/>
      <w:r w:rsidRPr="00517CD0">
        <w:rPr>
          <w:lang w:val="tr-TR"/>
        </w:rPr>
        <w:t>viabilitede</w:t>
      </w:r>
      <w:proofErr w:type="spellEnd"/>
      <w:r w:rsidRPr="00517CD0">
        <w:rPr>
          <w:lang w:val="tr-TR"/>
        </w:rPr>
        <w:t xml:space="preserve"> minimal (%5) azalmalara neden olduğu gösterilmiştir. Test edilen en yüksek dozda (sıçanlarda haftada 3 defa 20 </w:t>
      </w:r>
      <w:r w:rsidR="00590271" w:rsidRPr="00517CD0">
        <w:rPr>
          <w:lang w:val="tr-TR"/>
        </w:rPr>
        <w:t>mikrogram</w:t>
      </w:r>
      <w:r w:rsidRPr="00517CD0">
        <w:rPr>
          <w:lang w:val="tr-TR"/>
        </w:rPr>
        <w:t xml:space="preserve">/kg, vücut yüzey alanına göre insandaki 0.24 </w:t>
      </w:r>
      <w:r w:rsidR="00590271" w:rsidRPr="00517CD0">
        <w:rPr>
          <w:lang w:val="tr-TR"/>
        </w:rPr>
        <w:t>mikrogram</w:t>
      </w:r>
      <w:r w:rsidRPr="00517CD0">
        <w:rPr>
          <w:lang w:val="tr-TR"/>
        </w:rPr>
        <w:t xml:space="preserve">/kg dozunun 13 katı) </w:t>
      </w:r>
      <w:proofErr w:type="spellStart"/>
      <w:r w:rsidRPr="00517CD0">
        <w:rPr>
          <w:lang w:val="tr-TR"/>
        </w:rPr>
        <w:t>maternal</w:t>
      </w:r>
      <w:proofErr w:type="spellEnd"/>
      <w:r w:rsidRPr="00517CD0">
        <w:rPr>
          <w:lang w:val="tr-TR"/>
        </w:rPr>
        <w:t xml:space="preserve"> olarak toksik dozlarda (</w:t>
      </w:r>
      <w:proofErr w:type="spellStart"/>
      <w:r w:rsidRPr="00517CD0">
        <w:rPr>
          <w:lang w:val="tr-TR"/>
        </w:rPr>
        <w:t>hiperkalsemi</w:t>
      </w:r>
      <w:proofErr w:type="spellEnd"/>
      <w:r w:rsidRPr="00517CD0">
        <w:rPr>
          <w:lang w:val="tr-TR"/>
        </w:rPr>
        <w:t xml:space="preserve">)   yeni doğan sıçanlara </w:t>
      </w:r>
      <w:proofErr w:type="spellStart"/>
      <w:r w:rsidRPr="00517CD0">
        <w:rPr>
          <w:lang w:val="tr-TR"/>
        </w:rPr>
        <w:t>mortalitede</w:t>
      </w:r>
      <w:proofErr w:type="spellEnd"/>
      <w:r w:rsidRPr="00517CD0">
        <w:rPr>
          <w:lang w:val="tr-TR"/>
        </w:rPr>
        <w:t xml:space="preserve"> anlamlı bir artış olmuştur. Yavruların gelişiminde başka etkiler gözlenmemiştir. </w:t>
      </w:r>
      <w:proofErr w:type="spellStart"/>
      <w:r w:rsidRPr="00517CD0">
        <w:rPr>
          <w:lang w:val="tr-TR"/>
        </w:rPr>
        <w:t>Parikalsitol</w:t>
      </w:r>
      <w:proofErr w:type="spellEnd"/>
      <w:r w:rsidRPr="00517CD0">
        <w:rPr>
          <w:lang w:val="tr-TR"/>
        </w:rPr>
        <w:t xml:space="preserve"> test edilen dozlarda </w:t>
      </w:r>
      <w:proofErr w:type="spellStart"/>
      <w:r w:rsidRPr="00517CD0">
        <w:rPr>
          <w:lang w:val="tr-TR"/>
        </w:rPr>
        <w:t>teratojenik</w:t>
      </w:r>
      <w:proofErr w:type="spellEnd"/>
      <w:r w:rsidRPr="00517CD0">
        <w:rPr>
          <w:lang w:val="tr-TR"/>
        </w:rPr>
        <w:t xml:space="preserve"> değildir.</w:t>
      </w:r>
    </w:p>
    <w:p w:rsidR="0050621D" w:rsidRPr="00517CD0" w:rsidRDefault="0050621D" w:rsidP="0050621D">
      <w:pPr>
        <w:widowControl w:val="0"/>
        <w:autoSpaceDE w:val="0"/>
        <w:autoSpaceDN w:val="0"/>
        <w:adjustRightInd w:val="0"/>
        <w:ind w:right="48"/>
        <w:jc w:val="both"/>
        <w:rPr>
          <w:lang w:val="tr-TR"/>
        </w:rPr>
      </w:pPr>
    </w:p>
    <w:p w:rsidR="00590271" w:rsidRPr="00517CD0" w:rsidRDefault="0050621D" w:rsidP="0050621D">
      <w:pPr>
        <w:widowControl w:val="0"/>
        <w:autoSpaceDE w:val="0"/>
        <w:autoSpaceDN w:val="0"/>
        <w:adjustRightInd w:val="0"/>
        <w:ind w:right="48"/>
        <w:jc w:val="both"/>
        <w:rPr>
          <w:lang w:val="tr-TR"/>
        </w:rPr>
      </w:pPr>
      <w:proofErr w:type="spellStart"/>
      <w:r w:rsidRPr="00517CD0">
        <w:rPr>
          <w:lang w:val="tr-TR"/>
        </w:rPr>
        <w:t>Parikalsitol</w:t>
      </w:r>
      <w:proofErr w:type="spellEnd"/>
      <w:r w:rsidRPr="00517CD0">
        <w:rPr>
          <w:lang w:val="tr-TR"/>
        </w:rPr>
        <w:t xml:space="preserve"> </w:t>
      </w:r>
      <w:r w:rsidRPr="00517CD0">
        <w:rPr>
          <w:i/>
          <w:lang w:val="tr-TR"/>
        </w:rPr>
        <w:t xml:space="preserve">in </w:t>
      </w:r>
      <w:proofErr w:type="spellStart"/>
      <w:r w:rsidRPr="00517CD0">
        <w:rPr>
          <w:i/>
          <w:lang w:val="tr-TR"/>
        </w:rPr>
        <w:t>vitro</w:t>
      </w:r>
      <w:proofErr w:type="spellEnd"/>
      <w:r w:rsidRPr="00517CD0">
        <w:rPr>
          <w:lang w:val="tr-TR"/>
        </w:rPr>
        <w:t xml:space="preserve"> olarak metabolik aktivite olsun ya da olmasın </w:t>
      </w:r>
      <w:proofErr w:type="spellStart"/>
      <w:r w:rsidRPr="00517CD0">
        <w:rPr>
          <w:lang w:val="tr-TR"/>
        </w:rPr>
        <w:t>mikrobiyal</w:t>
      </w:r>
      <w:proofErr w:type="spellEnd"/>
      <w:r w:rsidRPr="00517CD0">
        <w:rPr>
          <w:lang w:val="tr-TR"/>
        </w:rPr>
        <w:t xml:space="preserve"> </w:t>
      </w:r>
      <w:proofErr w:type="spellStart"/>
      <w:r w:rsidRPr="00517CD0">
        <w:rPr>
          <w:lang w:val="tr-TR"/>
        </w:rPr>
        <w:t>mutagenez</w:t>
      </w:r>
      <w:proofErr w:type="spellEnd"/>
      <w:r w:rsidRPr="00517CD0">
        <w:rPr>
          <w:lang w:val="tr-TR"/>
        </w:rPr>
        <w:t xml:space="preserve"> tayininde (</w:t>
      </w:r>
      <w:proofErr w:type="spellStart"/>
      <w:r w:rsidRPr="00517CD0">
        <w:rPr>
          <w:lang w:val="tr-TR"/>
        </w:rPr>
        <w:t>Ames</w:t>
      </w:r>
      <w:proofErr w:type="spellEnd"/>
      <w:r w:rsidRPr="00517CD0">
        <w:rPr>
          <w:lang w:val="tr-TR"/>
        </w:rPr>
        <w:t xml:space="preserve"> Tayini), fare </w:t>
      </w:r>
      <w:proofErr w:type="spellStart"/>
      <w:r w:rsidRPr="00517CD0">
        <w:rPr>
          <w:lang w:val="tr-TR"/>
        </w:rPr>
        <w:t>lenfoması</w:t>
      </w:r>
      <w:proofErr w:type="spellEnd"/>
      <w:r w:rsidRPr="00517CD0">
        <w:rPr>
          <w:lang w:val="tr-TR"/>
        </w:rPr>
        <w:t xml:space="preserve"> </w:t>
      </w:r>
      <w:proofErr w:type="spellStart"/>
      <w:r w:rsidRPr="00517CD0">
        <w:rPr>
          <w:lang w:val="tr-TR"/>
        </w:rPr>
        <w:t>mutagenez</w:t>
      </w:r>
      <w:proofErr w:type="spellEnd"/>
      <w:r w:rsidRPr="00517CD0">
        <w:rPr>
          <w:lang w:val="tr-TR"/>
        </w:rPr>
        <w:t xml:space="preserve"> tayininde (L5178Y) veya bir insan </w:t>
      </w:r>
      <w:proofErr w:type="spellStart"/>
      <w:r w:rsidRPr="00517CD0">
        <w:rPr>
          <w:lang w:val="tr-TR"/>
        </w:rPr>
        <w:t>lenfoması</w:t>
      </w:r>
      <w:proofErr w:type="spellEnd"/>
      <w:r w:rsidRPr="00517CD0">
        <w:rPr>
          <w:lang w:val="tr-TR"/>
        </w:rPr>
        <w:t xml:space="preserve"> hücre kromozom </w:t>
      </w:r>
      <w:proofErr w:type="spellStart"/>
      <w:r w:rsidRPr="00517CD0">
        <w:rPr>
          <w:lang w:val="tr-TR"/>
        </w:rPr>
        <w:t>abrasyon</w:t>
      </w:r>
      <w:proofErr w:type="spellEnd"/>
      <w:r w:rsidRPr="00517CD0">
        <w:rPr>
          <w:lang w:val="tr-TR"/>
        </w:rPr>
        <w:t xml:space="preserve"> tayininde genetik </w:t>
      </w:r>
      <w:proofErr w:type="spellStart"/>
      <w:r w:rsidRPr="00517CD0">
        <w:rPr>
          <w:lang w:val="tr-TR"/>
        </w:rPr>
        <w:t>toksisite</w:t>
      </w:r>
      <w:proofErr w:type="spellEnd"/>
      <w:r w:rsidRPr="00517CD0">
        <w:rPr>
          <w:lang w:val="tr-TR"/>
        </w:rPr>
        <w:t xml:space="preserve"> göstermemiştir. Bir </w:t>
      </w:r>
      <w:r w:rsidRPr="00517CD0">
        <w:rPr>
          <w:i/>
          <w:lang w:val="tr-TR"/>
        </w:rPr>
        <w:t xml:space="preserve">in </w:t>
      </w:r>
      <w:proofErr w:type="spellStart"/>
      <w:r w:rsidRPr="00517CD0">
        <w:rPr>
          <w:i/>
          <w:lang w:val="tr-TR"/>
        </w:rPr>
        <w:t>vivo</w:t>
      </w:r>
      <w:proofErr w:type="spellEnd"/>
      <w:r w:rsidRPr="00517CD0">
        <w:rPr>
          <w:lang w:val="tr-TR"/>
        </w:rPr>
        <w:t xml:space="preserve"> fare </w:t>
      </w:r>
      <w:proofErr w:type="spellStart"/>
      <w:r w:rsidRPr="00517CD0">
        <w:rPr>
          <w:lang w:val="tr-TR"/>
        </w:rPr>
        <w:t>mikronükleus</w:t>
      </w:r>
      <w:proofErr w:type="spellEnd"/>
      <w:r w:rsidRPr="00517CD0">
        <w:rPr>
          <w:lang w:val="tr-TR"/>
        </w:rPr>
        <w:t xml:space="preserve"> tayininde genetik </w:t>
      </w:r>
      <w:proofErr w:type="spellStart"/>
      <w:r w:rsidRPr="00517CD0">
        <w:rPr>
          <w:lang w:val="tr-TR"/>
        </w:rPr>
        <w:t>toksisite</w:t>
      </w:r>
      <w:proofErr w:type="spellEnd"/>
      <w:r w:rsidRPr="00517CD0">
        <w:rPr>
          <w:lang w:val="tr-TR"/>
        </w:rPr>
        <w:t xml:space="preserve"> kanıtı yoktur.</w:t>
      </w:r>
    </w:p>
    <w:p w:rsidR="0050621D" w:rsidRPr="00517CD0" w:rsidRDefault="0050621D" w:rsidP="0050621D">
      <w:pPr>
        <w:widowControl w:val="0"/>
        <w:autoSpaceDE w:val="0"/>
        <w:autoSpaceDN w:val="0"/>
        <w:adjustRightInd w:val="0"/>
        <w:ind w:right="48"/>
        <w:jc w:val="both"/>
        <w:rPr>
          <w:b/>
          <w:lang w:val="tr-TR"/>
        </w:rPr>
      </w:pPr>
      <w:r w:rsidRPr="00517CD0">
        <w:rPr>
          <w:b/>
          <w:lang w:val="tr-TR"/>
        </w:rPr>
        <w:lastRenderedPageBreak/>
        <w:t>6. FARMASÖTİK ÖZELLİKLER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6.1. Yardımcı maddelerin listesi</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Etanol</w:t>
      </w:r>
    </w:p>
    <w:p w:rsidR="0050621D" w:rsidRPr="00517CD0" w:rsidRDefault="0050621D" w:rsidP="0050621D">
      <w:pPr>
        <w:widowControl w:val="0"/>
        <w:autoSpaceDE w:val="0"/>
        <w:autoSpaceDN w:val="0"/>
        <w:adjustRightInd w:val="0"/>
        <w:ind w:right="48"/>
        <w:jc w:val="both"/>
        <w:rPr>
          <w:lang w:val="tr-TR"/>
        </w:rPr>
      </w:pPr>
      <w:r w:rsidRPr="00517CD0">
        <w:rPr>
          <w:lang w:val="tr-TR"/>
        </w:rPr>
        <w:t>Propilen glikol</w:t>
      </w:r>
    </w:p>
    <w:p w:rsidR="0050621D" w:rsidRPr="00517CD0" w:rsidRDefault="0050621D" w:rsidP="0050621D">
      <w:pPr>
        <w:widowControl w:val="0"/>
        <w:autoSpaceDE w:val="0"/>
        <w:autoSpaceDN w:val="0"/>
        <w:adjustRightInd w:val="0"/>
        <w:ind w:right="48"/>
        <w:jc w:val="both"/>
        <w:rPr>
          <w:lang w:val="tr-TR"/>
        </w:rPr>
      </w:pPr>
      <w:r w:rsidRPr="00517CD0">
        <w:rPr>
          <w:lang w:val="tr-TR"/>
        </w:rPr>
        <w:t>Enjeksiyonluk su</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6.2. Geçimsizlikler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Propilen</w:t>
      </w:r>
      <w:proofErr w:type="spellEnd"/>
      <w:r w:rsidRPr="00517CD0">
        <w:rPr>
          <w:lang w:val="tr-TR"/>
        </w:rPr>
        <w:t xml:space="preserve"> glikol, </w:t>
      </w:r>
      <w:proofErr w:type="spellStart"/>
      <w:r w:rsidRPr="00517CD0">
        <w:rPr>
          <w:lang w:val="tr-TR"/>
        </w:rPr>
        <w:t>heparin</w:t>
      </w:r>
      <w:proofErr w:type="spellEnd"/>
      <w:r w:rsidRPr="00517CD0">
        <w:rPr>
          <w:lang w:val="tr-TR"/>
        </w:rPr>
        <w:t xml:space="preserve"> ile etkileşir ve etkisini nötralize eder. PARİKALSİ enjeksiyonluk çözelti yardımcı madde olarak </w:t>
      </w:r>
      <w:proofErr w:type="spellStart"/>
      <w:r w:rsidRPr="00517CD0">
        <w:rPr>
          <w:lang w:val="tr-TR"/>
        </w:rPr>
        <w:t>propilen</w:t>
      </w:r>
      <w:proofErr w:type="spellEnd"/>
      <w:r w:rsidRPr="00517CD0">
        <w:rPr>
          <w:lang w:val="tr-TR"/>
        </w:rPr>
        <w:t xml:space="preserve"> glikol içerir ve </w:t>
      </w:r>
      <w:proofErr w:type="spellStart"/>
      <w:r w:rsidRPr="00517CD0">
        <w:rPr>
          <w:lang w:val="tr-TR"/>
        </w:rPr>
        <w:t>heparinden</w:t>
      </w:r>
      <w:proofErr w:type="spellEnd"/>
      <w:r w:rsidRPr="00517CD0">
        <w:rPr>
          <w:lang w:val="tr-TR"/>
        </w:rPr>
        <w:t xml:space="preserve"> farklı bir enjeksiyon setinden uygulanmalıdır.</w:t>
      </w:r>
    </w:p>
    <w:p w:rsidR="00590271" w:rsidRPr="00517CD0" w:rsidRDefault="00590271"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Bu tıbbi ürün diğer tıbbi ürünlerle karıştırılmamalıdır.</w:t>
      </w:r>
    </w:p>
    <w:p w:rsidR="00A9141F" w:rsidRPr="00517CD0" w:rsidRDefault="00A9141F"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6.3. Raf ömrü</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24 ay</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6.4. Saklamaya yönelik özel tedbirler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25°</w:t>
      </w:r>
      <w:proofErr w:type="spellStart"/>
      <w:r w:rsidRPr="00517CD0">
        <w:rPr>
          <w:lang w:val="tr-TR"/>
        </w:rPr>
        <w:t>C’nin</w:t>
      </w:r>
      <w:proofErr w:type="spellEnd"/>
      <w:r w:rsidRPr="00517CD0">
        <w:rPr>
          <w:lang w:val="tr-TR"/>
        </w:rPr>
        <w:t xml:space="preserve"> altında oda sıcaklığında saklayınız.</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6.5. Ambalajın niteliği ve içeriği</w:t>
      </w:r>
    </w:p>
    <w:p w:rsidR="0050621D" w:rsidRPr="00517CD0" w:rsidRDefault="0050621D" w:rsidP="0050621D">
      <w:pPr>
        <w:widowControl w:val="0"/>
        <w:autoSpaceDE w:val="0"/>
        <w:autoSpaceDN w:val="0"/>
        <w:adjustRightInd w:val="0"/>
        <w:ind w:right="48"/>
        <w:jc w:val="both"/>
        <w:rPr>
          <w:lang w:val="tr-TR"/>
        </w:rPr>
      </w:pPr>
    </w:p>
    <w:p w:rsidR="0050621D" w:rsidRPr="00517CD0" w:rsidRDefault="002C50CE" w:rsidP="0050621D">
      <w:pPr>
        <w:widowControl w:val="0"/>
        <w:autoSpaceDE w:val="0"/>
        <w:autoSpaceDN w:val="0"/>
        <w:adjustRightInd w:val="0"/>
        <w:ind w:right="48"/>
        <w:jc w:val="both"/>
        <w:rPr>
          <w:lang w:val="tr-TR"/>
        </w:rPr>
      </w:pPr>
      <w:r w:rsidRPr="00517CD0">
        <w:rPr>
          <w:lang w:val="tr-TR"/>
        </w:rPr>
        <w:t xml:space="preserve">Kutuda, 1 </w:t>
      </w:r>
      <w:proofErr w:type="spellStart"/>
      <w:r w:rsidRPr="00517CD0">
        <w:rPr>
          <w:lang w:val="tr-TR"/>
        </w:rPr>
        <w:t>mL’lik</w:t>
      </w:r>
      <w:proofErr w:type="spellEnd"/>
      <w:r w:rsidRPr="00517CD0">
        <w:rPr>
          <w:lang w:val="tr-TR"/>
        </w:rPr>
        <w:t xml:space="preserve"> r</w:t>
      </w:r>
      <w:r w:rsidR="00FA03B7">
        <w:rPr>
          <w:lang w:val="tr-TR"/>
        </w:rPr>
        <w:t xml:space="preserve">enksiz Tip I </w:t>
      </w:r>
      <w:proofErr w:type="spellStart"/>
      <w:r w:rsidR="00FA03B7">
        <w:rPr>
          <w:lang w:val="tr-TR"/>
        </w:rPr>
        <w:t>otopul</w:t>
      </w:r>
      <w:proofErr w:type="spellEnd"/>
      <w:r w:rsidR="00FA03B7">
        <w:rPr>
          <w:lang w:val="tr-TR"/>
        </w:rPr>
        <w:t xml:space="preserve"> cam ampulde 5 adetlik ambalaj</w:t>
      </w:r>
      <w:r w:rsidRPr="00517CD0">
        <w:rPr>
          <w:lang w:val="tr-TR"/>
        </w:rPr>
        <w:t>da piyasaya sunulmaktadır.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6.6. Beşeri tıbbi üründen arta kalan maddelerin imhası ve diğer özel önlemler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proofErr w:type="spellStart"/>
      <w:r w:rsidRPr="00517CD0">
        <w:rPr>
          <w:lang w:val="tr-TR"/>
        </w:rPr>
        <w:t>Parenteral</w:t>
      </w:r>
      <w:proofErr w:type="spellEnd"/>
      <w:r w:rsidRPr="00517CD0">
        <w:rPr>
          <w:lang w:val="tr-TR"/>
        </w:rPr>
        <w:t xml:space="preserve"> ilaç ürünleri solüsyon ve ambalajın izin verdiği ölçüde partiküllü madde ve renk değişimi yönünden gözle incelenmelidir. Çözelti berrak ve renksizdir.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TEK KULLANIMLIKTIR. KULLANILMAYAN KISMI ATILMALIDIR.</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Geçerli olduğu takdirde kullanılmamış olan ürünler ya da atık materyaller ‘Tıbbi Atıkların Kontrolü Yönetmeliği’ ve ‘Ambalaj ve Ambalaj Atıklarının Kontrolü Yönetmelikleri’ne uygun olarak imha edilmelidir.</w:t>
      </w:r>
    </w:p>
    <w:p w:rsidR="00763587" w:rsidRPr="00517CD0" w:rsidRDefault="00763587"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7. RUHSAT SAHİBİ</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tabs>
          <w:tab w:val="left" w:pos="4962"/>
        </w:tabs>
        <w:jc w:val="both"/>
        <w:rPr>
          <w:lang w:val="tr-TR"/>
        </w:rPr>
      </w:pPr>
      <w:r w:rsidRPr="00517CD0">
        <w:rPr>
          <w:lang w:val="tr-TR"/>
        </w:rPr>
        <w:t>Pharmada İlaç San. ve Tic. A.Ş.</w:t>
      </w:r>
    </w:p>
    <w:p w:rsidR="0050621D" w:rsidRPr="00517CD0" w:rsidRDefault="0050621D" w:rsidP="0050621D">
      <w:pPr>
        <w:tabs>
          <w:tab w:val="left" w:pos="4962"/>
        </w:tabs>
        <w:jc w:val="both"/>
        <w:rPr>
          <w:lang w:val="tr-TR"/>
        </w:rPr>
      </w:pPr>
      <w:r w:rsidRPr="00517CD0">
        <w:rPr>
          <w:lang w:val="tr-TR"/>
        </w:rPr>
        <w:t xml:space="preserve">İnönü Mah. Kayışdağı Cad. Dem Plaza No:172 </w:t>
      </w:r>
    </w:p>
    <w:p w:rsidR="0050621D" w:rsidRPr="00517CD0" w:rsidRDefault="0050621D" w:rsidP="0050621D">
      <w:pPr>
        <w:tabs>
          <w:tab w:val="left" w:pos="4962"/>
        </w:tabs>
        <w:jc w:val="both"/>
        <w:rPr>
          <w:lang w:val="tr-TR"/>
        </w:rPr>
      </w:pPr>
      <w:r w:rsidRPr="00517CD0">
        <w:rPr>
          <w:lang w:val="tr-TR"/>
        </w:rPr>
        <w:t>34755 Ataşehir / İSTANBUL</w:t>
      </w:r>
      <w:r w:rsidRPr="00517CD0">
        <w:rPr>
          <w:lang w:val="tr-TR"/>
        </w:rPr>
        <w:tab/>
        <w:t xml:space="preserve"> </w:t>
      </w:r>
    </w:p>
    <w:p w:rsidR="0050621D" w:rsidRPr="00517CD0" w:rsidRDefault="0050621D" w:rsidP="0050621D">
      <w:pPr>
        <w:tabs>
          <w:tab w:val="left" w:pos="4962"/>
        </w:tabs>
        <w:jc w:val="both"/>
        <w:rPr>
          <w:lang w:val="tr-TR"/>
        </w:rPr>
      </w:pPr>
      <w:r w:rsidRPr="00517CD0">
        <w:rPr>
          <w:lang w:val="tr-TR"/>
        </w:rPr>
        <w:t>Tel:   0216 577 80 25</w:t>
      </w:r>
    </w:p>
    <w:p w:rsidR="0050621D" w:rsidRPr="00517CD0" w:rsidRDefault="0050621D" w:rsidP="0050621D">
      <w:pPr>
        <w:widowControl w:val="0"/>
        <w:autoSpaceDE w:val="0"/>
        <w:autoSpaceDN w:val="0"/>
        <w:adjustRightInd w:val="0"/>
        <w:ind w:right="48"/>
        <w:jc w:val="both"/>
        <w:rPr>
          <w:lang w:val="tr-TR"/>
        </w:rPr>
      </w:pPr>
      <w:r w:rsidRPr="00517CD0">
        <w:rPr>
          <w:lang w:val="tr-TR"/>
        </w:rPr>
        <w:t>Faks: 0216 577 80 24</w:t>
      </w:r>
    </w:p>
    <w:p w:rsidR="009B6A86" w:rsidRPr="00517CD0" w:rsidRDefault="009B6A86" w:rsidP="0050621D">
      <w:pPr>
        <w:widowControl w:val="0"/>
        <w:autoSpaceDE w:val="0"/>
        <w:autoSpaceDN w:val="0"/>
        <w:adjustRightInd w:val="0"/>
        <w:ind w:right="48"/>
        <w:jc w:val="both"/>
        <w:rPr>
          <w:lang w:val="tr-TR"/>
        </w:rPr>
      </w:pPr>
    </w:p>
    <w:p w:rsidR="00F37703" w:rsidRPr="00517CD0" w:rsidRDefault="00F37703" w:rsidP="0050621D">
      <w:pPr>
        <w:widowControl w:val="0"/>
        <w:autoSpaceDE w:val="0"/>
        <w:autoSpaceDN w:val="0"/>
        <w:adjustRightInd w:val="0"/>
        <w:ind w:right="48"/>
        <w:jc w:val="both"/>
        <w:rPr>
          <w:lang w:val="tr-TR"/>
        </w:rPr>
      </w:pPr>
    </w:p>
    <w:p w:rsidR="00F37703" w:rsidRPr="00517CD0" w:rsidRDefault="00F37703"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lastRenderedPageBreak/>
        <w:t>8. RUHSAT NUMARASI</w:t>
      </w:r>
    </w:p>
    <w:p w:rsidR="00D60663" w:rsidRDefault="00D60663" w:rsidP="0050621D">
      <w:pPr>
        <w:widowControl w:val="0"/>
        <w:autoSpaceDE w:val="0"/>
        <w:autoSpaceDN w:val="0"/>
        <w:adjustRightInd w:val="0"/>
        <w:ind w:right="48"/>
        <w:jc w:val="both"/>
        <w:rPr>
          <w:b/>
          <w:lang w:val="tr-TR"/>
        </w:rPr>
      </w:pPr>
    </w:p>
    <w:p w:rsidR="00A02121" w:rsidRPr="00A02121" w:rsidRDefault="00A02121" w:rsidP="0050621D">
      <w:pPr>
        <w:widowControl w:val="0"/>
        <w:autoSpaceDE w:val="0"/>
        <w:autoSpaceDN w:val="0"/>
        <w:adjustRightInd w:val="0"/>
        <w:ind w:right="48"/>
        <w:jc w:val="both"/>
        <w:rPr>
          <w:lang w:val="tr-TR"/>
        </w:rPr>
      </w:pPr>
      <w:r w:rsidRPr="00A02121">
        <w:rPr>
          <w:lang w:val="tr-TR"/>
        </w:rPr>
        <w:t>2015/551</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b/>
          <w:lang w:val="tr-TR"/>
        </w:rPr>
      </w:pPr>
      <w:r w:rsidRPr="00517CD0">
        <w:rPr>
          <w:b/>
          <w:lang w:val="tr-TR"/>
        </w:rPr>
        <w:t>9. İLK RUHSAT TARİHİ/RUHSAT YENİLEME TARİHİ</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İlk ruhsat tarihi: </w:t>
      </w:r>
      <w:r w:rsidR="00A02121">
        <w:rPr>
          <w:lang w:val="tr-TR"/>
        </w:rPr>
        <w:t>06.07.2015</w:t>
      </w:r>
    </w:p>
    <w:p w:rsidR="0050621D" w:rsidRPr="00517CD0" w:rsidRDefault="0050621D" w:rsidP="0050621D">
      <w:pPr>
        <w:widowControl w:val="0"/>
        <w:autoSpaceDE w:val="0"/>
        <w:autoSpaceDN w:val="0"/>
        <w:adjustRightInd w:val="0"/>
        <w:ind w:right="48"/>
        <w:jc w:val="both"/>
        <w:rPr>
          <w:lang w:val="tr-TR"/>
        </w:rPr>
      </w:pPr>
    </w:p>
    <w:p w:rsidR="0050621D" w:rsidRPr="00517CD0" w:rsidRDefault="0050621D" w:rsidP="0050621D">
      <w:pPr>
        <w:widowControl w:val="0"/>
        <w:autoSpaceDE w:val="0"/>
        <w:autoSpaceDN w:val="0"/>
        <w:adjustRightInd w:val="0"/>
        <w:ind w:right="48"/>
        <w:jc w:val="both"/>
        <w:rPr>
          <w:lang w:val="tr-TR"/>
        </w:rPr>
      </w:pPr>
      <w:r w:rsidRPr="00517CD0">
        <w:rPr>
          <w:lang w:val="tr-TR"/>
        </w:rPr>
        <w:t xml:space="preserve">Ruhsat yenileme tarihi: </w:t>
      </w:r>
    </w:p>
    <w:p w:rsidR="0050621D" w:rsidRPr="00517CD0" w:rsidRDefault="0050621D" w:rsidP="0050621D">
      <w:pPr>
        <w:widowControl w:val="0"/>
        <w:tabs>
          <w:tab w:val="left" w:pos="840"/>
        </w:tabs>
        <w:autoSpaceDE w:val="0"/>
        <w:autoSpaceDN w:val="0"/>
        <w:adjustRightInd w:val="0"/>
        <w:ind w:right="48"/>
        <w:jc w:val="both"/>
        <w:rPr>
          <w:b/>
          <w:lang w:val="tr-TR"/>
        </w:rPr>
      </w:pPr>
    </w:p>
    <w:p w:rsidR="0050621D" w:rsidRPr="00517CD0" w:rsidRDefault="0050621D" w:rsidP="0050621D">
      <w:pPr>
        <w:widowControl w:val="0"/>
        <w:tabs>
          <w:tab w:val="left" w:pos="840"/>
        </w:tabs>
        <w:autoSpaceDE w:val="0"/>
        <w:autoSpaceDN w:val="0"/>
        <w:adjustRightInd w:val="0"/>
        <w:ind w:right="48"/>
        <w:jc w:val="both"/>
        <w:rPr>
          <w:b/>
          <w:lang w:val="tr-TR"/>
        </w:rPr>
      </w:pPr>
      <w:r w:rsidRPr="00517CD0">
        <w:rPr>
          <w:b/>
          <w:lang w:val="tr-TR"/>
        </w:rPr>
        <w:t>10. KÜB’ÜN YENİLENME TARİHİ</w:t>
      </w:r>
    </w:p>
    <w:p w:rsidR="00EA1E84" w:rsidRPr="00517CD0" w:rsidRDefault="00EA1E84">
      <w:pPr>
        <w:rPr>
          <w:lang w:val="tr-TR"/>
        </w:rPr>
      </w:pPr>
    </w:p>
    <w:sectPr w:rsidR="00EA1E84" w:rsidRPr="00517CD0" w:rsidSect="00EA1E8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F18" w:rsidRDefault="00C73F18" w:rsidP="00D60663">
      <w:r>
        <w:separator/>
      </w:r>
    </w:p>
  </w:endnote>
  <w:endnote w:type="continuationSeparator" w:id="1">
    <w:p w:rsidR="00C73F18" w:rsidRDefault="00C73F18" w:rsidP="00D60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A2"/>
    <w:family w:val="roman"/>
    <w:pitch w:val="variable"/>
    <w:sig w:usb0="20002A87" w:usb1="00000000" w:usb2="00000000"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17093"/>
      <w:docPartObj>
        <w:docPartGallery w:val="Page Numbers (Bottom of Page)"/>
        <w:docPartUnique/>
      </w:docPartObj>
    </w:sdtPr>
    <w:sdtEndPr>
      <w:rPr>
        <w:color w:val="00B050"/>
      </w:rPr>
    </w:sdtEndPr>
    <w:sdtContent>
      <w:sdt>
        <w:sdtPr>
          <w:id w:val="861459903"/>
          <w:docPartObj>
            <w:docPartGallery w:val="Page Numbers (Top of Page)"/>
            <w:docPartUnique/>
          </w:docPartObj>
        </w:sdtPr>
        <w:sdtEndPr>
          <w:rPr>
            <w:color w:val="00B050"/>
          </w:rPr>
        </w:sdtEndPr>
        <w:sdtContent>
          <w:p w:rsidR="00C73F18" w:rsidRPr="00347EF6" w:rsidRDefault="00C73F18" w:rsidP="00347EF6">
            <w:pPr>
              <w:pStyle w:val="Altbilgi"/>
              <w:jc w:val="center"/>
              <w:rPr>
                <w:color w:val="00B050"/>
              </w:rPr>
            </w:pPr>
            <w:fldSimple w:instr="PAGE">
              <w:r w:rsidR="00E55689">
                <w:rPr>
                  <w:noProof/>
                </w:rPr>
                <w:t>12</w:t>
              </w:r>
            </w:fldSimple>
            <w:r w:rsidRPr="00FA03B7">
              <w:t xml:space="preserve"> / </w:t>
            </w:r>
            <w:fldSimple w:instr="NUMPAGES">
              <w:r w:rsidR="00E55689">
                <w:rPr>
                  <w:noProof/>
                </w:rPr>
                <w:t>12</w:t>
              </w:r>
            </w:fldSimple>
          </w:p>
        </w:sdtContent>
      </w:sdt>
    </w:sdtContent>
  </w:sdt>
  <w:p w:rsidR="00C73F18" w:rsidRDefault="00C73F1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F18" w:rsidRDefault="00C73F18" w:rsidP="00D60663">
      <w:r>
        <w:separator/>
      </w:r>
    </w:p>
  </w:footnote>
  <w:footnote w:type="continuationSeparator" w:id="1">
    <w:p w:rsidR="00C73F18" w:rsidRDefault="00C73F18" w:rsidP="00D60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C5342"/>
    <w:multiLevelType w:val="multilevel"/>
    <w:tmpl w:val="C914AA6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907" w:hanging="907"/>
      </w:pPr>
      <w:rPr>
        <w:rFonts w:hint="default"/>
        <w:b/>
        <w:i w:val="0"/>
      </w:rPr>
    </w:lvl>
    <w:lvl w:ilvl="4">
      <w:start w:val="1"/>
      <w:numFmt w:val="decimal"/>
      <w:lvlText w:val="%1.%2.%3.%4.%5."/>
      <w:lvlJc w:val="left"/>
      <w:pPr>
        <w:tabs>
          <w:tab w:val="num" w:pos="1080"/>
        </w:tabs>
        <w:ind w:left="1361" w:hanging="284"/>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0"/>
    <w:footnote w:id="1"/>
  </w:footnotePr>
  <w:endnotePr>
    <w:endnote w:id="0"/>
    <w:endnote w:id="1"/>
  </w:endnotePr>
  <w:compat/>
  <w:rsids>
    <w:rsidRoot w:val="0050621D"/>
    <w:rsid w:val="000803D7"/>
    <w:rsid w:val="000C4EC3"/>
    <w:rsid w:val="000E642C"/>
    <w:rsid w:val="001953E4"/>
    <w:rsid w:val="001B3BD1"/>
    <w:rsid w:val="001B4751"/>
    <w:rsid w:val="001C5E59"/>
    <w:rsid w:val="002932F8"/>
    <w:rsid w:val="002C50CE"/>
    <w:rsid w:val="00347EF6"/>
    <w:rsid w:val="003C73AB"/>
    <w:rsid w:val="00417892"/>
    <w:rsid w:val="004335A1"/>
    <w:rsid w:val="0045050C"/>
    <w:rsid w:val="0049262A"/>
    <w:rsid w:val="004A7AF3"/>
    <w:rsid w:val="0050621D"/>
    <w:rsid w:val="00517CD0"/>
    <w:rsid w:val="005455E0"/>
    <w:rsid w:val="005628E8"/>
    <w:rsid w:val="00590271"/>
    <w:rsid w:val="00600848"/>
    <w:rsid w:val="00631667"/>
    <w:rsid w:val="00647251"/>
    <w:rsid w:val="006B0DCE"/>
    <w:rsid w:val="00734E94"/>
    <w:rsid w:val="00763587"/>
    <w:rsid w:val="007A2302"/>
    <w:rsid w:val="007D626F"/>
    <w:rsid w:val="007F29B6"/>
    <w:rsid w:val="008255CF"/>
    <w:rsid w:val="00887495"/>
    <w:rsid w:val="008B5C85"/>
    <w:rsid w:val="008C64EC"/>
    <w:rsid w:val="008E5C27"/>
    <w:rsid w:val="00903A1F"/>
    <w:rsid w:val="009047B1"/>
    <w:rsid w:val="0090537C"/>
    <w:rsid w:val="009540F8"/>
    <w:rsid w:val="009A2AB4"/>
    <w:rsid w:val="009B6A86"/>
    <w:rsid w:val="00A02121"/>
    <w:rsid w:val="00A620E2"/>
    <w:rsid w:val="00A9141F"/>
    <w:rsid w:val="00AA6446"/>
    <w:rsid w:val="00AD3A16"/>
    <w:rsid w:val="00AE1E20"/>
    <w:rsid w:val="00AE6C5D"/>
    <w:rsid w:val="00B31053"/>
    <w:rsid w:val="00B777CA"/>
    <w:rsid w:val="00C73F18"/>
    <w:rsid w:val="00C8559B"/>
    <w:rsid w:val="00C96F0E"/>
    <w:rsid w:val="00CC31B2"/>
    <w:rsid w:val="00CE013E"/>
    <w:rsid w:val="00D34292"/>
    <w:rsid w:val="00D60663"/>
    <w:rsid w:val="00D71382"/>
    <w:rsid w:val="00E05C87"/>
    <w:rsid w:val="00E40118"/>
    <w:rsid w:val="00E53850"/>
    <w:rsid w:val="00E55689"/>
    <w:rsid w:val="00E93C06"/>
    <w:rsid w:val="00EA1E84"/>
    <w:rsid w:val="00F37703"/>
    <w:rsid w:val="00F65F08"/>
    <w:rsid w:val="00FA03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1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621D"/>
    <w:rPr>
      <w:rFonts w:ascii="Tahoma" w:hAnsi="Tahoma" w:cs="Tahoma"/>
      <w:sz w:val="16"/>
      <w:szCs w:val="16"/>
    </w:rPr>
  </w:style>
  <w:style w:type="character" w:customStyle="1" w:styleId="BalonMetniChar">
    <w:name w:val="Balon Metni Char"/>
    <w:basedOn w:val="VarsaylanParagrafYazTipi"/>
    <w:link w:val="BalonMetni"/>
    <w:uiPriority w:val="99"/>
    <w:semiHidden/>
    <w:rsid w:val="0050621D"/>
    <w:rPr>
      <w:rFonts w:ascii="Tahoma" w:eastAsia="Times New Roman" w:hAnsi="Tahoma" w:cs="Tahoma"/>
      <w:sz w:val="16"/>
      <w:szCs w:val="16"/>
      <w:lang w:val="en-US"/>
    </w:rPr>
  </w:style>
  <w:style w:type="paragraph" w:styleId="stbilgi">
    <w:name w:val="header"/>
    <w:basedOn w:val="Normal"/>
    <w:link w:val="stbilgiChar"/>
    <w:uiPriority w:val="99"/>
    <w:semiHidden/>
    <w:unhideWhenUsed/>
    <w:rsid w:val="00D60663"/>
    <w:pPr>
      <w:tabs>
        <w:tab w:val="center" w:pos="4536"/>
        <w:tab w:val="right" w:pos="9072"/>
      </w:tabs>
    </w:pPr>
  </w:style>
  <w:style w:type="character" w:customStyle="1" w:styleId="stbilgiChar">
    <w:name w:val="Üstbilgi Char"/>
    <w:basedOn w:val="VarsaylanParagrafYazTipi"/>
    <w:link w:val="stbilgi"/>
    <w:uiPriority w:val="99"/>
    <w:semiHidden/>
    <w:rsid w:val="00D60663"/>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D60663"/>
    <w:pPr>
      <w:tabs>
        <w:tab w:val="center" w:pos="4536"/>
        <w:tab w:val="right" w:pos="9072"/>
      </w:tabs>
    </w:pPr>
  </w:style>
  <w:style w:type="character" w:customStyle="1" w:styleId="AltbilgiChar">
    <w:name w:val="Altbilgi Char"/>
    <w:basedOn w:val="VarsaylanParagrafYazTipi"/>
    <w:link w:val="Altbilgi"/>
    <w:uiPriority w:val="99"/>
    <w:rsid w:val="00D60663"/>
    <w:rPr>
      <w:rFonts w:ascii="Times New Roman" w:eastAsia="Times New Roman" w:hAnsi="Times New Roman" w:cs="Times New Roman"/>
      <w:sz w:val="24"/>
      <w:szCs w:val="24"/>
      <w:lang w:val="en-US"/>
    </w:rPr>
  </w:style>
  <w:style w:type="character" w:styleId="Kpr">
    <w:name w:val="Hyperlink"/>
    <w:basedOn w:val="VarsaylanParagrafYazTipi"/>
    <w:rsid w:val="00E05C87"/>
    <w:rPr>
      <w:color w:val="0000FF"/>
      <w:u w:val="single"/>
    </w:rPr>
  </w:style>
</w:styles>
</file>

<file path=word/webSettings.xml><?xml version="1.0" encoding="utf-8"?>
<w:webSettings xmlns:r="http://schemas.openxmlformats.org/officeDocument/2006/relationships" xmlns:w="http://schemas.openxmlformats.org/wordprocessingml/2006/main">
  <w:divs>
    <w:div w:id="159385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ufam@titc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02B7-B286-43F1-9AAC-74E28B51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12</Pages>
  <Words>3821</Words>
  <Characters>21784</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ozlem.catay</dc:creator>
  <cp:lastModifiedBy>rana.ozveri</cp:lastModifiedBy>
  <cp:revision>41</cp:revision>
  <cp:lastPrinted>2015-07-20T07:30:00Z</cp:lastPrinted>
  <dcterms:created xsi:type="dcterms:W3CDTF">2014-07-25T13:04:00Z</dcterms:created>
  <dcterms:modified xsi:type="dcterms:W3CDTF">2015-07-20T07:30:00Z</dcterms:modified>
</cp:coreProperties>
</file>